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034E" w:rsidRDefault="00B7034E">
      <w:pPr>
        <w:jc w:val="center"/>
        <w:rPr>
          <w:rFonts w:ascii="Century Gothic" w:eastAsia="Century Gothic" w:hAnsi="Century Gothic" w:cs="Century Gothic"/>
          <w:b/>
          <w:sz w:val="28"/>
          <w:szCs w:val="28"/>
        </w:rPr>
      </w:pPr>
    </w:p>
    <w:p w:rsidR="00B7034E" w:rsidRDefault="00B7034E">
      <w:pPr>
        <w:jc w:val="center"/>
        <w:rPr>
          <w:rFonts w:ascii="Century Gothic" w:eastAsia="Century Gothic" w:hAnsi="Century Gothic" w:cs="Century Gothic"/>
          <w:b/>
          <w:sz w:val="28"/>
          <w:szCs w:val="28"/>
        </w:rPr>
      </w:pPr>
    </w:p>
    <w:p w:rsidR="00B7034E" w:rsidRDefault="00B7034E">
      <w:pPr>
        <w:jc w:val="center"/>
        <w:rPr>
          <w:rFonts w:ascii="Century Gothic" w:eastAsia="Century Gothic" w:hAnsi="Century Gothic" w:cs="Century Gothic"/>
          <w:b/>
          <w:sz w:val="38"/>
          <w:szCs w:val="38"/>
        </w:rPr>
      </w:pPr>
    </w:p>
    <w:p w:rsidR="00B7034E" w:rsidRDefault="00B7034E">
      <w:pPr>
        <w:jc w:val="center"/>
        <w:rPr>
          <w:rFonts w:ascii="Century Gothic" w:eastAsia="Century Gothic" w:hAnsi="Century Gothic" w:cs="Century Gothic"/>
          <w:b/>
          <w:sz w:val="40"/>
          <w:szCs w:val="40"/>
        </w:rPr>
      </w:pPr>
    </w:p>
    <w:p w:rsidR="00B7034E" w:rsidRDefault="00B7034E">
      <w:pPr>
        <w:jc w:val="center"/>
        <w:rPr>
          <w:rFonts w:ascii="Century Gothic" w:eastAsia="Century Gothic" w:hAnsi="Century Gothic" w:cs="Century Gothic"/>
          <w:b/>
          <w:sz w:val="40"/>
          <w:szCs w:val="40"/>
        </w:rPr>
      </w:pPr>
    </w:p>
    <w:p w:rsidR="00B7034E" w:rsidRDefault="00B7034E">
      <w:pPr>
        <w:jc w:val="center"/>
        <w:rPr>
          <w:rFonts w:ascii="Century Gothic" w:eastAsia="Century Gothic" w:hAnsi="Century Gothic" w:cs="Century Gothic"/>
          <w:b/>
          <w:sz w:val="40"/>
          <w:szCs w:val="40"/>
        </w:rPr>
      </w:pPr>
    </w:p>
    <w:p w:rsidR="00B7034E" w:rsidRDefault="00B7034E">
      <w:pPr>
        <w:jc w:val="center"/>
        <w:rPr>
          <w:rFonts w:ascii="Century Gothic" w:eastAsia="Century Gothic" w:hAnsi="Century Gothic" w:cs="Century Gothic"/>
          <w:b/>
          <w:sz w:val="40"/>
          <w:szCs w:val="40"/>
        </w:rPr>
      </w:pPr>
    </w:p>
    <w:p w:rsidR="00B7034E" w:rsidRDefault="00B77AE8">
      <w:pPr>
        <w:jc w:val="center"/>
        <w:rPr>
          <w:rFonts w:ascii="Century Gothic" w:eastAsia="Century Gothic" w:hAnsi="Century Gothic" w:cs="Century Gothic"/>
          <w:b/>
          <w:sz w:val="40"/>
          <w:szCs w:val="40"/>
        </w:rPr>
      </w:pPr>
      <w:r>
        <w:rPr>
          <w:rFonts w:ascii="Century Gothic" w:eastAsia="Century Gothic" w:hAnsi="Century Gothic" w:cs="Century Gothic"/>
          <w:b/>
          <w:sz w:val="40"/>
          <w:szCs w:val="40"/>
        </w:rPr>
        <w:t xml:space="preserve">GUÍA RESUMEN </w:t>
      </w:r>
    </w:p>
    <w:p w:rsidR="00B7034E" w:rsidRDefault="00B77AE8">
      <w:pPr>
        <w:jc w:val="center"/>
        <w:rPr>
          <w:rFonts w:ascii="Century Gothic" w:eastAsia="Century Gothic" w:hAnsi="Century Gothic" w:cs="Century Gothic"/>
          <w:b/>
          <w:sz w:val="40"/>
          <w:szCs w:val="40"/>
        </w:rPr>
      </w:pPr>
      <w:r>
        <w:rPr>
          <w:rFonts w:ascii="Century Gothic" w:eastAsia="Century Gothic" w:hAnsi="Century Gothic" w:cs="Century Gothic"/>
          <w:b/>
          <w:sz w:val="40"/>
          <w:szCs w:val="40"/>
        </w:rPr>
        <w:t xml:space="preserve">CONCURSOS EXTERNOS </w:t>
      </w:r>
    </w:p>
    <w:p w:rsidR="00B7034E" w:rsidRDefault="00B7034E">
      <w:pPr>
        <w:jc w:val="center"/>
        <w:rPr>
          <w:rFonts w:ascii="Century Gothic" w:eastAsia="Century Gothic" w:hAnsi="Century Gothic" w:cs="Century Gothic"/>
          <w:b/>
          <w:sz w:val="40"/>
          <w:szCs w:val="40"/>
        </w:rPr>
      </w:pPr>
    </w:p>
    <w:p w:rsidR="00B7034E" w:rsidRDefault="00B77AE8">
      <w:pPr>
        <w:jc w:val="center"/>
        <w:rPr>
          <w:rFonts w:ascii="Century Gothic" w:eastAsia="Century Gothic" w:hAnsi="Century Gothic" w:cs="Century Gothic"/>
          <w:b/>
          <w:sz w:val="26"/>
          <w:szCs w:val="26"/>
        </w:rPr>
      </w:pPr>
      <w:r>
        <w:rPr>
          <w:rFonts w:ascii="Century Gothic" w:eastAsia="Century Gothic" w:hAnsi="Century Gothic" w:cs="Century Gothic"/>
          <w:b/>
          <w:sz w:val="26"/>
          <w:szCs w:val="26"/>
        </w:rPr>
        <w:t>(POSTULACIÓN A CONCURSOS CON DELEGACIÓN DE FIRMA DEL VICERRECTOR DE INVESTIGACIÓN Y DESARROLLO)</w:t>
      </w:r>
    </w:p>
    <w:p w:rsidR="00B7034E" w:rsidRDefault="00B7034E">
      <w:pPr>
        <w:rPr>
          <w:rFonts w:ascii="Century Gothic" w:eastAsia="Century Gothic" w:hAnsi="Century Gothic" w:cs="Century Gothic"/>
          <w:b/>
          <w:sz w:val="40"/>
          <w:szCs w:val="40"/>
        </w:rPr>
      </w:pPr>
    </w:p>
    <w:p w:rsidR="00B7034E" w:rsidRDefault="00B7034E">
      <w:pPr>
        <w:jc w:val="center"/>
        <w:rPr>
          <w:rFonts w:ascii="Century Gothic" w:eastAsia="Century Gothic" w:hAnsi="Century Gothic" w:cs="Century Gothic"/>
          <w:b/>
          <w:sz w:val="28"/>
          <w:szCs w:val="28"/>
        </w:rPr>
      </w:pPr>
    </w:p>
    <w:p w:rsidR="00B7034E" w:rsidRDefault="00B7034E">
      <w:pPr>
        <w:jc w:val="center"/>
        <w:rPr>
          <w:rFonts w:ascii="Century Gothic" w:eastAsia="Century Gothic" w:hAnsi="Century Gothic" w:cs="Century Gothic"/>
          <w:b/>
          <w:sz w:val="28"/>
          <w:szCs w:val="28"/>
        </w:rPr>
      </w:pPr>
    </w:p>
    <w:p w:rsidR="00B7034E" w:rsidRDefault="00B7034E">
      <w:pPr>
        <w:jc w:val="center"/>
        <w:rPr>
          <w:rFonts w:ascii="Century Gothic" w:eastAsia="Century Gothic" w:hAnsi="Century Gothic" w:cs="Century Gothic"/>
          <w:b/>
          <w:sz w:val="28"/>
          <w:szCs w:val="28"/>
        </w:rPr>
      </w:pPr>
    </w:p>
    <w:p w:rsidR="00B7034E" w:rsidRDefault="00B7034E">
      <w:pPr>
        <w:jc w:val="center"/>
        <w:rPr>
          <w:rFonts w:ascii="Century Gothic" w:eastAsia="Century Gothic" w:hAnsi="Century Gothic" w:cs="Century Gothic"/>
          <w:b/>
          <w:sz w:val="28"/>
          <w:szCs w:val="28"/>
        </w:rPr>
      </w:pPr>
    </w:p>
    <w:p w:rsidR="00B7034E" w:rsidRDefault="00B77AE8">
      <w:pPr>
        <w:jc w:val="center"/>
        <w:rPr>
          <w:rFonts w:ascii="Century Gothic" w:eastAsia="Century Gothic" w:hAnsi="Century Gothic" w:cs="Century Gothic"/>
          <w:b/>
          <w:sz w:val="28"/>
          <w:szCs w:val="28"/>
        </w:rPr>
      </w:pPr>
      <w:r>
        <w:rPr>
          <w:rFonts w:ascii="Century Gothic" w:eastAsia="Century Gothic" w:hAnsi="Century Gothic" w:cs="Century Gothic"/>
          <w:b/>
          <w:sz w:val="28"/>
          <w:szCs w:val="28"/>
        </w:rPr>
        <w:t xml:space="preserve">Unidad de Proyectos </w:t>
      </w:r>
    </w:p>
    <w:p w:rsidR="00B7034E" w:rsidRDefault="00B77AE8">
      <w:pPr>
        <w:jc w:val="center"/>
        <w:rPr>
          <w:rFonts w:ascii="Century Gothic" w:eastAsia="Century Gothic" w:hAnsi="Century Gothic" w:cs="Century Gothic"/>
          <w:b/>
          <w:sz w:val="28"/>
          <w:szCs w:val="28"/>
        </w:rPr>
      </w:pPr>
      <w:r>
        <w:rPr>
          <w:rFonts w:ascii="Century Gothic" w:eastAsia="Century Gothic" w:hAnsi="Century Gothic" w:cs="Century Gothic"/>
          <w:b/>
          <w:sz w:val="28"/>
          <w:szCs w:val="28"/>
        </w:rPr>
        <w:t xml:space="preserve">Vicerrectoría de Investigación y Desarrollo </w:t>
      </w:r>
    </w:p>
    <w:p w:rsidR="00B7034E" w:rsidRDefault="00B7034E">
      <w:pPr>
        <w:jc w:val="center"/>
        <w:rPr>
          <w:rFonts w:ascii="Century Gothic" w:eastAsia="Century Gothic" w:hAnsi="Century Gothic" w:cs="Century Gothic"/>
          <w:b/>
          <w:sz w:val="28"/>
          <w:szCs w:val="28"/>
        </w:rPr>
      </w:pPr>
    </w:p>
    <w:p w:rsidR="00B7034E" w:rsidRDefault="00B7034E">
      <w:pPr>
        <w:jc w:val="center"/>
        <w:rPr>
          <w:rFonts w:ascii="Century Gothic" w:eastAsia="Century Gothic" w:hAnsi="Century Gothic" w:cs="Century Gothic"/>
          <w:b/>
          <w:sz w:val="28"/>
          <w:szCs w:val="28"/>
        </w:rPr>
      </w:pPr>
    </w:p>
    <w:p w:rsidR="00B7034E" w:rsidRDefault="00B7034E">
      <w:pPr>
        <w:jc w:val="center"/>
        <w:rPr>
          <w:rFonts w:ascii="Century Gothic" w:eastAsia="Century Gothic" w:hAnsi="Century Gothic" w:cs="Century Gothic"/>
          <w:b/>
          <w:sz w:val="28"/>
          <w:szCs w:val="28"/>
        </w:rPr>
      </w:pPr>
    </w:p>
    <w:p w:rsidR="00B7034E" w:rsidRDefault="00B7034E">
      <w:pPr>
        <w:rPr>
          <w:rFonts w:ascii="Century Gothic" w:eastAsia="Century Gothic" w:hAnsi="Century Gothic" w:cs="Century Gothic"/>
          <w:b/>
          <w:sz w:val="28"/>
          <w:szCs w:val="28"/>
        </w:rPr>
      </w:pPr>
    </w:p>
    <w:p w:rsidR="00B7034E" w:rsidRDefault="00B7034E">
      <w:pPr>
        <w:jc w:val="center"/>
        <w:rPr>
          <w:rFonts w:ascii="Century Gothic" w:eastAsia="Century Gothic" w:hAnsi="Century Gothic" w:cs="Century Gothic"/>
          <w:b/>
          <w:sz w:val="28"/>
          <w:szCs w:val="28"/>
        </w:rPr>
      </w:pPr>
    </w:p>
    <w:p w:rsidR="00B7034E" w:rsidRDefault="00B7034E">
      <w:pPr>
        <w:jc w:val="center"/>
        <w:rPr>
          <w:rFonts w:ascii="Century Gothic" w:eastAsia="Century Gothic" w:hAnsi="Century Gothic" w:cs="Century Gothic"/>
          <w:b/>
          <w:sz w:val="28"/>
          <w:szCs w:val="28"/>
        </w:rPr>
      </w:pPr>
    </w:p>
    <w:p w:rsidR="00B7034E" w:rsidRDefault="00B7034E">
      <w:pPr>
        <w:jc w:val="center"/>
        <w:rPr>
          <w:rFonts w:ascii="Century Gothic" w:eastAsia="Century Gothic" w:hAnsi="Century Gothic" w:cs="Century Gothic"/>
          <w:b/>
          <w:sz w:val="28"/>
          <w:szCs w:val="28"/>
        </w:rPr>
      </w:pPr>
    </w:p>
    <w:p w:rsidR="00B7034E" w:rsidRDefault="00CC3313">
      <w:pPr>
        <w:jc w:val="right"/>
        <w:rPr>
          <w:rFonts w:ascii="Century Gothic" w:eastAsia="Century Gothic" w:hAnsi="Century Gothic" w:cs="Century Gothic"/>
          <w:b/>
          <w:sz w:val="32"/>
          <w:szCs w:val="32"/>
        </w:rPr>
      </w:pPr>
      <w:r>
        <w:rPr>
          <w:rFonts w:ascii="Century Gothic" w:eastAsia="Century Gothic" w:hAnsi="Century Gothic" w:cs="Century Gothic"/>
          <w:b/>
          <w:sz w:val="24"/>
          <w:szCs w:val="24"/>
        </w:rPr>
        <w:t>Actualización Marzo 2025</w:t>
      </w:r>
    </w:p>
    <w:p w:rsidR="00B7034E" w:rsidRDefault="00B7034E">
      <w:pPr>
        <w:jc w:val="right"/>
        <w:rPr>
          <w:rFonts w:ascii="Century Gothic" w:eastAsia="Century Gothic" w:hAnsi="Century Gothic" w:cs="Century Gothic"/>
          <w:b/>
          <w:sz w:val="32"/>
          <w:szCs w:val="32"/>
        </w:rPr>
      </w:pPr>
    </w:p>
    <w:p w:rsidR="00B7034E" w:rsidRDefault="00B77AE8">
      <w:pPr>
        <w:rPr>
          <w:rFonts w:ascii="Cambria" w:eastAsia="Cambria" w:hAnsi="Cambria" w:cs="Cambria"/>
          <w:b/>
          <w:sz w:val="28"/>
          <w:szCs w:val="28"/>
        </w:rPr>
      </w:pPr>
      <w:r>
        <w:rPr>
          <w:rFonts w:ascii="Century Gothic" w:eastAsia="Century Gothic" w:hAnsi="Century Gothic" w:cs="Century Gothic"/>
          <w:b/>
          <w:sz w:val="28"/>
          <w:szCs w:val="28"/>
        </w:rPr>
        <w:t>Revisión de postulaciones gestionadas por la Unidad de Proyectos</w:t>
      </w:r>
    </w:p>
    <w:p w:rsidR="00B7034E" w:rsidRDefault="00B7034E">
      <w:pPr>
        <w:rPr>
          <w:rFonts w:ascii="Century Gothic" w:eastAsia="Century Gothic" w:hAnsi="Century Gothic" w:cs="Century Gothic"/>
          <w:b/>
        </w:rPr>
      </w:pPr>
    </w:p>
    <w:p w:rsidR="00B7034E" w:rsidRDefault="00B77AE8">
      <w:pPr>
        <w:spacing w:after="200"/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Los concursos que son gestionados por la Unidad de Proyectos (UP), son los tienen Delegación de firma en el Vicerrector de Investigación y Desarrollo (VRID) según Decreto Exento Nº 0030561 con fecha de</w:t>
      </w:r>
      <w:r>
        <w:rPr>
          <w:rFonts w:ascii="Century Gothic" w:eastAsia="Century Gothic" w:hAnsi="Century Gothic" w:cs="Century Gothic"/>
          <w:highlight w:val="white"/>
        </w:rPr>
        <w:t xml:space="preserve"> 25-07-2019</w:t>
      </w:r>
      <w:r>
        <w:rPr>
          <w:rFonts w:ascii="Century Gothic" w:eastAsia="Century Gothic" w:hAnsi="Century Gothic" w:cs="Century Gothic"/>
        </w:rPr>
        <w:t>, junto a las modificaciones posteriores (ver Anexo N°1 listado de concursos).</w:t>
      </w:r>
    </w:p>
    <w:p w:rsidR="00B7034E" w:rsidRDefault="00B77AE8">
      <w:pPr>
        <w:spacing w:after="200"/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De los concursos que se gestionan en la UP, se puede distinguir 2 grupos:</w:t>
      </w:r>
    </w:p>
    <w:p w:rsidR="00B7034E" w:rsidRDefault="00B77AE8">
      <w:pPr>
        <w:numPr>
          <w:ilvl w:val="0"/>
          <w:numId w:val="4"/>
        </w:numPr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  <w:b/>
        </w:rPr>
        <w:t>Postulaciones con envío a firma institucional por plataforma ANID</w:t>
      </w:r>
      <w:r>
        <w:rPr>
          <w:rFonts w:ascii="Century Gothic" w:eastAsia="Century Gothic" w:hAnsi="Century Gothic" w:cs="Century Gothic"/>
        </w:rPr>
        <w:t>: por ejemplo: FONDECYT y Equipamiento (ex-FONDEQUIP).</w:t>
      </w:r>
    </w:p>
    <w:p w:rsidR="00B7034E" w:rsidRDefault="00B77AE8">
      <w:pPr>
        <w:numPr>
          <w:ilvl w:val="0"/>
          <w:numId w:val="4"/>
        </w:numPr>
        <w:spacing w:after="200"/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  <w:b/>
        </w:rPr>
        <w:t>Postulaciones con envío directo por el/la postulante a cada concurso</w:t>
      </w:r>
      <w:r w:rsidR="00CC3313">
        <w:rPr>
          <w:rFonts w:ascii="Century Gothic" w:eastAsia="Century Gothic" w:hAnsi="Century Gothic" w:cs="Century Gothic"/>
        </w:rPr>
        <w:t>: por ejemplo FONDEF IDEA</w:t>
      </w:r>
      <w:r>
        <w:rPr>
          <w:rFonts w:ascii="Century Gothic" w:eastAsia="Century Gothic" w:hAnsi="Century Gothic" w:cs="Century Gothic"/>
        </w:rPr>
        <w:t xml:space="preserve"> y otros.</w:t>
      </w:r>
    </w:p>
    <w:p w:rsidR="00B7034E" w:rsidRDefault="00B77AE8">
      <w:pPr>
        <w:spacing w:after="200"/>
        <w:jc w:val="both"/>
        <w:rPr>
          <w:rFonts w:ascii="Century Gothic" w:eastAsia="Century Gothic" w:hAnsi="Century Gothic" w:cs="Century Gothic"/>
          <w:b/>
        </w:rPr>
      </w:pPr>
      <w:r>
        <w:rPr>
          <w:rFonts w:ascii="Century Gothic" w:eastAsia="Century Gothic" w:hAnsi="Century Gothic" w:cs="Century Gothic"/>
          <w:b/>
        </w:rPr>
        <w:t>Descripción de cada grupo de postulaciones:</w:t>
      </w:r>
    </w:p>
    <w:p w:rsidR="00B7034E" w:rsidRDefault="00B77AE8">
      <w:pPr>
        <w:numPr>
          <w:ilvl w:val="0"/>
          <w:numId w:val="3"/>
        </w:numPr>
        <w:spacing w:after="200"/>
        <w:jc w:val="both"/>
        <w:rPr>
          <w:rFonts w:ascii="Century Gothic" w:eastAsia="Century Gothic" w:hAnsi="Century Gothic" w:cs="Century Gothic"/>
          <w:b/>
        </w:rPr>
      </w:pPr>
      <w:r>
        <w:rPr>
          <w:rFonts w:ascii="Century Gothic" w:eastAsia="Century Gothic" w:hAnsi="Century Gothic" w:cs="Century Gothic"/>
          <w:b/>
          <w:u w:val="single"/>
        </w:rPr>
        <w:t>Postulaciones con envío a firma institucional por plataforma ANID</w:t>
      </w:r>
    </w:p>
    <w:p w:rsidR="00B7034E" w:rsidRDefault="00B77AE8">
      <w:pPr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a.1) Fondecyt cuenta con 3 líneas de financiamiento, destinadas a investigadores/as. Estos instrumentos son :Concurso Fondecyt de Postdoctorado, Fondecyt Iniciación y Fondecyt Regular.</w:t>
      </w:r>
    </w:p>
    <w:p w:rsidR="00B7034E" w:rsidRDefault="00B7034E">
      <w:pPr>
        <w:ind w:left="720"/>
        <w:jc w:val="both"/>
        <w:rPr>
          <w:rFonts w:ascii="Century Gothic" w:eastAsia="Century Gothic" w:hAnsi="Century Gothic" w:cs="Century Gothic"/>
        </w:rPr>
      </w:pPr>
    </w:p>
    <w:p w:rsidR="00B7034E" w:rsidRDefault="00B77AE8">
      <w:pPr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 xml:space="preserve">a.2) </w:t>
      </w:r>
      <w:r w:rsidR="00CC3313">
        <w:rPr>
          <w:rFonts w:ascii="Century Gothic" w:eastAsia="Century Gothic" w:hAnsi="Century Gothic" w:cs="Century Gothic"/>
        </w:rPr>
        <w:t>Fondequip de Equipamiento: cuenta con dos concursos</w:t>
      </w:r>
      <w:r>
        <w:rPr>
          <w:rFonts w:ascii="Century Gothic" w:eastAsia="Century Gothic" w:hAnsi="Century Gothic" w:cs="Century Gothic"/>
        </w:rPr>
        <w:t>: Equipamiento Científico y Tecnológico Mediano, y Equipamiento Mayor.</w:t>
      </w:r>
    </w:p>
    <w:p w:rsidR="00B7034E" w:rsidRDefault="00B7034E">
      <w:pPr>
        <w:jc w:val="both"/>
        <w:rPr>
          <w:rFonts w:ascii="Century Gothic" w:eastAsia="Century Gothic" w:hAnsi="Century Gothic" w:cs="Century Gothic"/>
        </w:rPr>
      </w:pPr>
    </w:p>
    <w:p w:rsidR="00B7034E" w:rsidRDefault="00B77AE8">
      <w:pPr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Cada uno de los concursos mencionados se abre una vez al año. Al momento de apertura se informa por medio de correo electrónico a los/as Directores/as de Investigación, para que sea difundido en las Facultades, Institutos u Hospital según corresponda, en ese correo se adjunta el Instructivo de Postulación, con los pasos detallados.</w:t>
      </w:r>
    </w:p>
    <w:p w:rsidR="00B7034E" w:rsidRDefault="00B7034E">
      <w:pPr>
        <w:jc w:val="both"/>
        <w:rPr>
          <w:rFonts w:ascii="Century Gothic" w:eastAsia="Century Gothic" w:hAnsi="Century Gothic" w:cs="Century Gothic"/>
        </w:rPr>
      </w:pPr>
    </w:p>
    <w:p w:rsidR="00B7034E" w:rsidRDefault="00B77AE8">
      <w:pPr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Estas convocatorias tienen la particularidad que el/la postulante debe subir la propuesta directamente a la plataforma ANID, en el plazo establecido en las bases, y no se piden antecedentes extras, salvo excepciones que se establecen en el instructivo respectivo.</w:t>
      </w:r>
    </w:p>
    <w:p w:rsidR="00B7034E" w:rsidRDefault="00B7034E">
      <w:pPr>
        <w:jc w:val="both"/>
        <w:rPr>
          <w:rFonts w:ascii="Century Gothic" w:eastAsia="Century Gothic" w:hAnsi="Century Gothic" w:cs="Century Gothic"/>
          <w:sz w:val="20"/>
          <w:szCs w:val="20"/>
        </w:rPr>
      </w:pPr>
    </w:p>
    <w:p w:rsidR="00B7034E" w:rsidRDefault="00B77AE8">
      <w:pPr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 xml:space="preserve">En el caso de los </w:t>
      </w:r>
      <w:r w:rsidR="00CC3313">
        <w:rPr>
          <w:rFonts w:ascii="Century Gothic" w:eastAsia="Century Gothic" w:hAnsi="Century Gothic" w:cs="Century Gothic"/>
          <w:b/>
        </w:rPr>
        <w:t>Concursos de Fondequip</w:t>
      </w:r>
      <w:r>
        <w:rPr>
          <w:rFonts w:ascii="Century Gothic" w:eastAsia="Century Gothic" w:hAnsi="Century Gothic" w:cs="Century Gothic"/>
        </w:rPr>
        <w:t xml:space="preserve">, se pide que cada postulante, envíe una carta de compromiso institucional (Anexo N°2) , firmada por el/la Decano/a o por la </w:t>
      </w:r>
      <w:r>
        <w:rPr>
          <w:rFonts w:ascii="Century Gothic" w:eastAsia="Century Gothic" w:hAnsi="Century Gothic" w:cs="Century Gothic"/>
        </w:rPr>
        <w:lastRenderedPageBreak/>
        <w:t>autoridad de la Unidad Académica correspondiente, con los aportes solicitados en las Bases de cada concurso.</w:t>
      </w:r>
    </w:p>
    <w:p w:rsidR="00B7034E" w:rsidRDefault="00B7034E">
      <w:pPr>
        <w:jc w:val="both"/>
        <w:rPr>
          <w:rFonts w:ascii="Century Gothic" w:eastAsia="Century Gothic" w:hAnsi="Century Gothic" w:cs="Century Gothic"/>
        </w:rPr>
      </w:pPr>
    </w:p>
    <w:p w:rsidR="00B7034E" w:rsidRDefault="00B77AE8">
      <w:pPr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Luego del cierre de la plataforma para el/la postulante, comienza el período de “Patrocinio Institucional”, en el cual, la UP revisa las postulaciones y las devuelve con comentarios, si corresponde. En este proceso el/la postulante debe estar atento/a su correo electrónico, ya que este es el medio oficial de comunicación entre la UP y el/la postulante. Finalmente el proyecto es firmado en plataforma por el VRID , quien otorga el patrocinio, para así ser recibido en ANID.</w:t>
      </w:r>
    </w:p>
    <w:p w:rsidR="00B7034E" w:rsidRDefault="00B7034E">
      <w:pPr>
        <w:spacing w:after="200"/>
        <w:ind w:left="720"/>
        <w:jc w:val="both"/>
        <w:rPr>
          <w:rFonts w:ascii="Century Gothic" w:eastAsia="Century Gothic" w:hAnsi="Century Gothic" w:cs="Century Gothic"/>
        </w:rPr>
      </w:pPr>
    </w:p>
    <w:p w:rsidR="00B7034E" w:rsidRDefault="00B77AE8">
      <w:pPr>
        <w:spacing w:after="200"/>
        <w:ind w:left="720"/>
        <w:jc w:val="both"/>
        <w:rPr>
          <w:rFonts w:ascii="Century Gothic" w:eastAsia="Century Gothic" w:hAnsi="Century Gothic" w:cs="Century Gothic"/>
          <w:b/>
        </w:rPr>
      </w:pPr>
      <w:r>
        <w:rPr>
          <w:rFonts w:ascii="Century Gothic" w:eastAsia="Century Gothic" w:hAnsi="Century Gothic" w:cs="Century Gothic"/>
          <w:b/>
        </w:rPr>
        <w:t>b)</w:t>
      </w:r>
      <w:r>
        <w:rPr>
          <w:rFonts w:ascii="Century Gothic" w:eastAsia="Century Gothic" w:hAnsi="Century Gothic" w:cs="Century Gothic"/>
          <w:b/>
          <w:u w:val="single"/>
        </w:rPr>
        <w:t>Postulaciones con envío directo del postulante a cada concurso</w:t>
      </w:r>
    </w:p>
    <w:p w:rsidR="00B7034E" w:rsidRDefault="00B77AE8">
      <w:pPr>
        <w:spacing w:after="200"/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La documentación de postulación debe ser enviada por el/la postulante al correo electrónico de la Analista de la UP encargada del concurso, al menos 7 días corridos antes de la fecha de cierre oficial de la convocatoria. La documentación es revisada, en su</w:t>
      </w:r>
      <w:r w:rsidR="00CC3313">
        <w:rPr>
          <w:rFonts w:ascii="Century Gothic" w:eastAsia="Century Gothic" w:hAnsi="Century Gothic" w:cs="Century Gothic"/>
        </w:rPr>
        <w:t>s</w:t>
      </w:r>
      <w:r>
        <w:rPr>
          <w:rFonts w:ascii="Century Gothic" w:eastAsia="Century Gothic" w:hAnsi="Century Gothic" w:cs="Century Gothic"/>
        </w:rPr>
        <w:t xml:space="preserve"> aspectos formales, para luego obtener el patrocinio o firma de cartas del VRID, requeridas en cada fondo concursable.</w:t>
      </w:r>
    </w:p>
    <w:p w:rsidR="00B7034E" w:rsidRDefault="00B77AE8">
      <w:pPr>
        <w:spacing w:after="200"/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Los requisitos de cada concurso pueden variar, pero la UP solicita los siguientes documentos como base:</w:t>
      </w:r>
    </w:p>
    <w:p w:rsidR="00B7034E" w:rsidRDefault="00B77AE8">
      <w:pPr>
        <w:numPr>
          <w:ilvl w:val="0"/>
          <w:numId w:val="6"/>
        </w:numPr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Formulario de postulación formato word o descargado desde la plataforma del concurso.</w:t>
      </w:r>
    </w:p>
    <w:p w:rsidR="00B7034E" w:rsidRDefault="00B77AE8">
      <w:pPr>
        <w:numPr>
          <w:ilvl w:val="0"/>
          <w:numId w:val="6"/>
        </w:numPr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Presupuesto en excel.</w:t>
      </w:r>
    </w:p>
    <w:p w:rsidR="00B7034E" w:rsidRDefault="00B77AE8">
      <w:pPr>
        <w:numPr>
          <w:ilvl w:val="0"/>
          <w:numId w:val="6"/>
        </w:numPr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Carta de Compromiso Institucional: Firmada por Decano/a o Director/a de Instituto u Hospital (Anexo N°2).</w:t>
      </w:r>
    </w:p>
    <w:p w:rsidR="00B7034E" w:rsidRDefault="00B77AE8">
      <w:pPr>
        <w:numPr>
          <w:ilvl w:val="0"/>
          <w:numId w:val="6"/>
        </w:numPr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Carta de Declaración de Propiedad Intelectual (Anexo N°3).</w:t>
      </w:r>
    </w:p>
    <w:p w:rsidR="00B7034E" w:rsidRDefault="00B77AE8">
      <w:pPr>
        <w:numPr>
          <w:ilvl w:val="0"/>
          <w:numId w:val="6"/>
        </w:numPr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Carta de instituciones asociadas (si corresponde).</w:t>
      </w:r>
    </w:p>
    <w:p w:rsidR="00B7034E" w:rsidRDefault="00B77AE8">
      <w:pPr>
        <w:numPr>
          <w:ilvl w:val="0"/>
          <w:numId w:val="6"/>
        </w:numPr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Anexos (si corresponde).</w:t>
      </w:r>
    </w:p>
    <w:p w:rsidR="00B7034E" w:rsidRDefault="00B7034E">
      <w:pPr>
        <w:jc w:val="both"/>
        <w:rPr>
          <w:rFonts w:ascii="Century Gothic" w:eastAsia="Century Gothic" w:hAnsi="Century Gothic" w:cs="Century Gothic"/>
        </w:rPr>
      </w:pPr>
    </w:p>
    <w:p w:rsidR="00B7034E" w:rsidRDefault="00B77AE8">
      <w:pPr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 xml:space="preserve">La apertura del concurso será comunicada a través de la web </w:t>
      </w:r>
      <w:hyperlink r:id="rId8">
        <w:r>
          <w:rPr>
            <w:rFonts w:ascii="Century Gothic" w:eastAsia="Century Gothic" w:hAnsi="Century Gothic" w:cs="Century Gothic"/>
          </w:rPr>
          <w:t>www.uchile.cl</w:t>
        </w:r>
      </w:hyperlink>
      <w:r>
        <w:rPr>
          <w:rFonts w:ascii="Century Gothic" w:eastAsia="Century Gothic" w:hAnsi="Century Gothic" w:cs="Century Gothic"/>
        </w:rPr>
        <w:t>/investigacion y/o mediante correo electrónico a cada Dirección de investigación o extensión de las facultades, Institutos u Hospital. En esta comunicación se informará la analista a cargo del concurso en la UP. También se recomienda que cada investigador/a realice un monitoreo frecuente de las plataformas más pertinentes a sus líneas de investigación.</w:t>
      </w:r>
    </w:p>
    <w:p w:rsidR="00B7034E" w:rsidRDefault="00B7034E">
      <w:pPr>
        <w:jc w:val="both"/>
        <w:rPr>
          <w:rFonts w:ascii="Century Gothic" w:eastAsia="Century Gothic" w:hAnsi="Century Gothic" w:cs="Century Gothic"/>
        </w:rPr>
      </w:pPr>
    </w:p>
    <w:p w:rsidR="00B7034E" w:rsidRDefault="00B77AE8">
      <w:pPr>
        <w:jc w:val="both"/>
        <w:rPr>
          <w:rFonts w:ascii="Century Gothic" w:eastAsia="Century Gothic" w:hAnsi="Century Gothic" w:cs="Century Gothic"/>
          <w:b/>
          <w:sz w:val="20"/>
          <w:szCs w:val="20"/>
          <w:highlight w:val="white"/>
        </w:rPr>
      </w:pPr>
      <w:r>
        <w:rPr>
          <w:rFonts w:ascii="Century Gothic" w:eastAsia="Century Gothic" w:hAnsi="Century Gothic" w:cs="Century Gothic"/>
          <w:b/>
          <w:highlight w:val="white"/>
          <w:u w:val="single"/>
        </w:rPr>
        <w:t>IMPORTANTE:</w:t>
      </w:r>
      <w:r>
        <w:rPr>
          <w:rFonts w:ascii="Century Gothic" w:eastAsia="Century Gothic" w:hAnsi="Century Gothic" w:cs="Century Gothic"/>
          <w:b/>
          <w:highlight w:val="white"/>
        </w:rPr>
        <w:t xml:space="preserve"> Para cada concurso el/la postulante debe leer las bases y revisar la plataforma de postulación.</w:t>
      </w:r>
    </w:p>
    <w:p w:rsidR="00B7034E" w:rsidRDefault="00B7034E">
      <w:pPr>
        <w:rPr>
          <w:rFonts w:ascii="Century Gothic" w:eastAsia="Century Gothic" w:hAnsi="Century Gothic" w:cs="Century Gothic"/>
          <w:b/>
          <w:color w:val="366091"/>
          <w:sz w:val="28"/>
          <w:szCs w:val="28"/>
        </w:rPr>
      </w:pPr>
    </w:p>
    <w:p w:rsidR="00B7034E" w:rsidRDefault="00B7034E">
      <w:pPr>
        <w:jc w:val="center"/>
        <w:rPr>
          <w:rFonts w:ascii="Century Gothic" w:eastAsia="Century Gothic" w:hAnsi="Century Gothic" w:cs="Century Gothic"/>
          <w:b/>
          <w:color w:val="366091"/>
          <w:sz w:val="28"/>
          <w:szCs w:val="28"/>
        </w:rPr>
      </w:pPr>
    </w:p>
    <w:p w:rsidR="00B7034E" w:rsidRDefault="00B77AE8">
      <w:pPr>
        <w:jc w:val="center"/>
        <w:rPr>
          <w:rFonts w:ascii="Century Gothic" w:eastAsia="Century Gothic" w:hAnsi="Century Gothic" w:cs="Century Gothic"/>
          <w:b/>
          <w:sz w:val="28"/>
          <w:szCs w:val="28"/>
        </w:rPr>
      </w:pPr>
      <w:r>
        <w:rPr>
          <w:rFonts w:ascii="Century Gothic" w:eastAsia="Century Gothic" w:hAnsi="Century Gothic" w:cs="Century Gothic"/>
          <w:b/>
          <w:sz w:val="28"/>
          <w:szCs w:val="28"/>
        </w:rPr>
        <w:t>Adjudicación de Proyectos</w:t>
      </w:r>
    </w:p>
    <w:p w:rsidR="00B7034E" w:rsidRDefault="00B7034E">
      <w:pPr>
        <w:jc w:val="both"/>
        <w:rPr>
          <w:rFonts w:ascii="Calibri" w:eastAsia="Calibri" w:hAnsi="Calibri" w:cs="Calibri"/>
          <w:color w:val="674EA7"/>
        </w:rPr>
      </w:pPr>
    </w:p>
    <w:p w:rsidR="00B7034E" w:rsidRDefault="00B77AE8">
      <w:pPr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Una vez adjudicado el proyecto, para dar inicio al mismo y posteriormente realizar el traspaso de los fondos, debe formalizarse la firma de los respectivos convenios. Dependiendo de la Agencia y del rol que cumple la Universidad se gestionará alguno de los siguientes documentos:</w:t>
      </w:r>
    </w:p>
    <w:p w:rsidR="00B7034E" w:rsidRDefault="00B7034E">
      <w:pPr>
        <w:jc w:val="both"/>
        <w:rPr>
          <w:rFonts w:ascii="Century Gothic" w:eastAsia="Century Gothic" w:hAnsi="Century Gothic" w:cs="Century Gothic"/>
        </w:rPr>
      </w:pPr>
    </w:p>
    <w:p w:rsidR="00B7034E" w:rsidRDefault="00B77AE8">
      <w:pPr>
        <w:numPr>
          <w:ilvl w:val="0"/>
          <w:numId w:val="2"/>
        </w:numPr>
        <w:jc w:val="both"/>
        <w:rPr>
          <w:rFonts w:ascii="Century Gothic" w:eastAsia="Century Gothic" w:hAnsi="Century Gothic" w:cs="Century Gothic"/>
          <w:b/>
        </w:rPr>
      </w:pPr>
      <w:r>
        <w:rPr>
          <w:rFonts w:ascii="Century Gothic" w:eastAsia="Century Gothic" w:hAnsi="Century Gothic" w:cs="Century Gothic"/>
          <w:b/>
        </w:rPr>
        <w:t>Convenio de subsidio / Convenio de ejecución / Contrato de ejecución:</w:t>
      </w:r>
    </w:p>
    <w:p w:rsidR="00B7034E" w:rsidRDefault="00B77AE8">
      <w:pPr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Se suscribe entre la Agencia financiadora y la Universidad, dentro del plazo determinado en las bases de cada concurso. En él se establecen los montos comprometidos, las actividades a realizar y los plazos, entre otros. Para su tramitación la UP entrega la documentación a la Unidad Legal (UL), quien revisa y gestiona la suscripción por parte del VRID, para finalmente ser enviada directamente a la Agencia correspondiente. Para la firma del convenio tenemos dos casos:</w:t>
      </w:r>
    </w:p>
    <w:p w:rsidR="00B7034E" w:rsidRDefault="00B7034E">
      <w:pPr>
        <w:jc w:val="both"/>
        <w:rPr>
          <w:rFonts w:ascii="Century Gothic" w:eastAsia="Century Gothic" w:hAnsi="Century Gothic" w:cs="Century Gothic"/>
        </w:rPr>
      </w:pPr>
    </w:p>
    <w:p w:rsidR="00B7034E" w:rsidRDefault="00B77AE8">
      <w:pPr>
        <w:widowControl w:val="0"/>
        <w:spacing w:line="216" w:lineRule="auto"/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  <w:b/>
          <w:u w:val="single"/>
        </w:rPr>
        <w:t>Caso 1</w:t>
      </w:r>
      <w:r>
        <w:rPr>
          <w:rFonts w:ascii="Century Gothic" w:eastAsia="Century Gothic" w:hAnsi="Century Gothic" w:cs="Century Gothic"/>
        </w:rPr>
        <w:t>: El convenio llega directamente al/a la investigador/a y éste debe enviarlo a la analista de la UP a cargo del concurso, para solicitar la revisión a la UL de la VID, y luego se gestionan las firmas.</w:t>
      </w:r>
    </w:p>
    <w:p w:rsidR="00B7034E" w:rsidRDefault="00B7034E">
      <w:pPr>
        <w:widowControl w:val="0"/>
        <w:spacing w:line="216" w:lineRule="auto"/>
        <w:jc w:val="both"/>
        <w:rPr>
          <w:rFonts w:ascii="Century Gothic" w:eastAsia="Century Gothic" w:hAnsi="Century Gothic" w:cs="Century Gothic"/>
        </w:rPr>
      </w:pPr>
    </w:p>
    <w:p w:rsidR="00B7034E" w:rsidRDefault="00B77AE8">
      <w:pPr>
        <w:widowControl w:val="0"/>
        <w:spacing w:line="216" w:lineRule="auto"/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  <w:b/>
          <w:u w:val="single"/>
        </w:rPr>
        <w:t>Caso 2</w:t>
      </w:r>
      <w:r>
        <w:rPr>
          <w:rFonts w:ascii="Century Gothic" w:eastAsia="Century Gothic" w:hAnsi="Century Gothic" w:cs="Century Gothic"/>
        </w:rPr>
        <w:t>: El convenio llega a la UP, el/la Director/a será contactado/a para el proceso de firma, en caso de ser necesario, y se solicita la revisión a la UL, y luego se gestionan las firmas.</w:t>
      </w:r>
    </w:p>
    <w:p w:rsidR="00B7034E" w:rsidRDefault="00B7034E">
      <w:pPr>
        <w:jc w:val="both"/>
        <w:rPr>
          <w:rFonts w:ascii="Century Gothic" w:eastAsia="Century Gothic" w:hAnsi="Century Gothic" w:cs="Century Gothic"/>
        </w:rPr>
      </w:pPr>
    </w:p>
    <w:p w:rsidR="00B7034E" w:rsidRDefault="00B77AE8">
      <w:pPr>
        <w:numPr>
          <w:ilvl w:val="0"/>
          <w:numId w:val="2"/>
        </w:numPr>
        <w:jc w:val="both"/>
        <w:rPr>
          <w:rFonts w:ascii="Century Gothic" w:eastAsia="Century Gothic" w:hAnsi="Century Gothic" w:cs="Century Gothic"/>
          <w:b/>
        </w:rPr>
      </w:pPr>
      <w:r>
        <w:rPr>
          <w:rFonts w:ascii="Century Gothic" w:eastAsia="Century Gothic" w:hAnsi="Century Gothic" w:cs="Century Gothic"/>
          <w:b/>
        </w:rPr>
        <w:t xml:space="preserve">Convenio de participación, coejecución u otros similares: </w:t>
      </w:r>
    </w:p>
    <w:p w:rsidR="00B7034E" w:rsidRDefault="00B77AE8">
      <w:pPr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 xml:space="preserve">Se firma entre la Universidad y los asociados/coejecutores del proyecto, quienes  co-financian la investigación,  siempre que las bases así lo estipulan. En él se establecen los derechos y deberes de cada parte. </w:t>
      </w:r>
    </w:p>
    <w:p w:rsidR="00B7034E" w:rsidRDefault="00B7034E">
      <w:pPr>
        <w:jc w:val="both"/>
        <w:rPr>
          <w:rFonts w:ascii="Century Gothic" w:eastAsia="Century Gothic" w:hAnsi="Century Gothic" w:cs="Century Gothic"/>
        </w:rPr>
      </w:pPr>
    </w:p>
    <w:p w:rsidR="00B7034E" w:rsidRDefault="00B77AE8">
      <w:pPr>
        <w:jc w:val="both"/>
        <w:rPr>
          <w:rFonts w:ascii="Century Gothic" w:eastAsia="Century Gothic" w:hAnsi="Century Gothic" w:cs="Century Gothic"/>
          <w:sz w:val="16"/>
          <w:szCs w:val="16"/>
        </w:rPr>
      </w:pPr>
      <w:r>
        <w:rPr>
          <w:rFonts w:ascii="Century Gothic" w:eastAsia="Century Gothic" w:hAnsi="Century Gothic" w:cs="Century Gothic"/>
        </w:rPr>
        <w:t>Este tipo de convenio es elaborado y negociado por la UL, en el caso de no existir un formato preestablecido en las bases, y para su firma se requiere la siguiente documentación:</w:t>
      </w:r>
    </w:p>
    <w:p w:rsidR="00B7034E" w:rsidRDefault="00B7034E">
      <w:pPr>
        <w:jc w:val="both"/>
        <w:rPr>
          <w:rFonts w:ascii="Century Gothic" w:eastAsia="Century Gothic" w:hAnsi="Century Gothic" w:cs="Century Gothic"/>
          <w:sz w:val="16"/>
          <w:szCs w:val="16"/>
        </w:rPr>
      </w:pPr>
    </w:p>
    <w:tbl>
      <w:tblPr>
        <w:tblStyle w:val="a2"/>
        <w:tblW w:w="96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710"/>
        <w:gridCol w:w="4950"/>
      </w:tblGrid>
      <w:tr w:rsidR="00B7034E">
        <w:tc>
          <w:tcPr>
            <w:tcW w:w="4710" w:type="dxa"/>
            <w:shd w:val="clear" w:color="auto" w:fill="FFFFFF"/>
          </w:tcPr>
          <w:p w:rsidR="00B7034E" w:rsidRDefault="00B77AE8">
            <w:pPr>
              <w:jc w:val="center"/>
              <w:rPr>
                <w:rFonts w:ascii="Century Gothic" w:eastAsia="Century Gothic" w:hAnsi="Century Gothic" w:cs="Century Gothic"/>
                <w:b/>
                <w:sz w:val="18"/>
                <w:szCs w:val="18"/>
              </w:rPr>
            </w:pPr>
            <w:r>
              <w:rPr>
                <w:rFonts w:ascii="Century Gothic" w:eastAsia="Century Gothic" w:hAnsi="Century Gothic" w:cs="Century Gothic"/>
                <w:b/>
                <w:sz w:val="18"/>
                <w:szCs w:val="18"/>
              </w:rPr>
              <w:t>Empresa u otra entidad asociada Privada</w:t>
            </w:r>
          </w:p>
        </w:tc>
        <w:tc>
          <w:tcPr>
            <w:tcW w:w="4950" w:type="dxa"/>
            <w:shd w:val="clear" w:color="auto" w:fill="FFFFFF"/>
            <w:vAlign w:val="center"/>
          </w:tcPr>
          <w:p w:rsidR="00B7034E" w:rsidRDefault="00B77AE8">
            <w:pPr>
              <w:jc w:val="center"/>
              <w:rPr>
                <w:rFonts w:ascii="Century Gothic" w:eastAsia="Century Gothic" w:hAnsi="Century Gothic" w:cs="Century Gothic"/>
                <w:b/>
                <w:sz w:val="18"/>
                <w:szCs w:val="18"/>
              </w:rPr>
            </w:pPr>
            <w:r>
              <w:rPr>
                <w:rFonts w:ascii="Century Gothic" w:eastAsia="Century Gothic" w:hAnsi="Century Gothic" w:cs="Century Gothic"/>
                <w:b/>
                <w:sz w:val="18"/>
                <w:szCs w:val="18"/>
              </w:rPr>
              <w:t>Entidad asociada o mandante Pública</w:t>
            </w:r>
          </w:p>
        </w:tc>
      </w:tr>
      <w:tr w:rsidR="00B7034E">
        <w:trPr>
          <w:trHeight w:val="270"/>
        </w:trPr>
        <w:tc>
          <w:tcPr>
            <w:tcW w:w="4710" w:type="dxa"/>
            <w:vMerge w:val="restart"/>
            <w:shd w:val="clear" w:color="auto" w:fill="FFFFFF"/>
          </w:tcPr>
          <w:p w:rsidR="00B7034E" w:rsidRDefault="00B77AE8">
            <w:pPr>
              <w:numPr>
                <w:ilvl w:val="0"/>
                <w:numId w:val="5"/>
              </w:numPr>
              <w:ind w:left="283" w:hanging="283"/>
              <w:jc w:val="both"/>
              <w:rPr>
                <w:rFonts w:ascii="Century Gothic" w:eastAsia="Century Gothic" w:hAnsi="Century Gothic" w:cs="Century Gothic"/>
                <w:sz w:val="14"/>
                <w:szCs w:val="14"/>
              </w:rPr>
            </w:pPr>
            <w:r>
              <w:rPr>
                <w:rFonts w:ascii="Century Gothic" w:eastAsia="Century Gothic" w:hAnsi="Century Gothic" w:cs="Century Gothic"/>
                <w:sz w:val="14"/>
                <w:szCs w:val="14"/>
              </w:rPr>
              <w:t>Datos de comparecencia del  representante legal.</w:t>
            </w:r>
          </w:p>
          <w:p w:rsidR="00B7034E" w:rsidRDefault="00B77AE8">
            <w:pPr>
              <w:numPr>
                <w:ilvl w:val="0"/>
                <w:numId w:val="5"/>
              </w:numPr>
              <w:ind w:left="283" w:hanging="283"/>
              <w:jc w:val="both"/>
              <w:rPr>
                <w:rFonts w:ascii="Century Gothic" w:eastAsia="Century Gothic" w:hAnsi="Century Gothic" w:cs="Century Gothic"/>
                <w:sz w:val="14"/>
                <w:szCs w:val="14"/>
              </w:rPr>
            </w:pPr>
            <w:r>
              <w:rPr>
                <w:rFonts w:ascii="Century Gothic" w:eastAsia="Century Gothic" w:hAnsi="Century Gothic" w:cs="Century Gothic"/>
                <w:sz w:val="14"/>
                <w:szCs w:val="14"/>
              </w:rPr>
              <w:t>Escritura de constitución de la persona jurídica.</w:t>
            </w:r>
          </w:p>
          <w:p w:rsidR="00B7034E" w:rsidRDefault="00B77AE8">
            <w:pPr>
              <w:numPr>
                <w:ilvl w:val="0"/>
                <w:numId w:val="5"/>
              </w:numPr>
              <w:ind w:left="283" w:hanging="283"/>
              <w:jc w:val="both"/>
              <w:rPr>
                <w:rFonts w:ascii="Century Gothic" w:eastAsia="Century Gothic" w:hAnsi="Century Gothic" w:cs="Century Gothic"/>
                <w:sz w:val="14"/>
                <w:szCs w:val="14"/>
              </w:rPr>
            </w:pPr>
            <w:r>
              <w:rPr>
                <w:rFonts w:ascii="Century Gothic" w:eastAsia="Century Gothic" w:hAnsi="Century Gothic" w:cs="Century Gothic"/>
                <w:sz w:val="14"/>
                <w:szCs w:val="14"/>
              </w:rPr>
              <w:t>Vigencia de la personería jurídica actualizada.</w:t>
            </w:r>
          </w:p>
          <w:p w:rsidR="00B7034E" w:rsidRDefault="00B77AE8">
            <w:pPr>
              <w:numPr>
                <w:ilvl w:val="0"/>
                <w:numId w:val="5"/>
              </w:numPr>
              <w:ind w:left="283" w:hanging="283"/>
              <w:jc w:val="both"/>
              <w:rPr>
                <w:rFonts w:ascii="Century Gothic" w:eastAsia="Century Gothic" w:hAnsi="Century Gothic" w:cs="Century Gothic"/>
                <w:sz w:val="14"/>
                <w:szCs w:val="14"/>
              </w:rPr>
            </w:pPr>
            <w:r>
              <w:rPr>
                <w:rFonts w:ascii="Century Gothic" w:eastAsia="Century Gothic" w:hAnsi="Century Gothic" w:cs="Century Gothic"/>
                <w:sz w:val="14"/>
                <w:szCs w:val="14"/>
              </w:rPr>
              <w:t>Escritura donde consten los poderes.</w:t>
            </w:r>
          </w:p>
          <w:p w:rsidR="00B7034E" w:rsidRDefault="00B77AE8">
            <w:pPr>
              <w:numPr>
                <w:ilvl w:val="0"/>
                <w:numId w:val="5"/>
              </w:numPr>
              <w:ind w:left="283" w:hanging="283"/>
              <w:jc w:val="both"/>
              <w:rPr>
                <w:rFonts w:ascii="Century Gothic" w:eastAsia="Century Gothic" w:hAnsi="Century Gothic" w:cs="Century Gothic"/>
                <w:sz w:val="14"/>
                <w:szCs w:val="14"/>
              </w:rPr>
            </w:pPr>
            <w:r>
              <w:rPr>
                <w:rFonts w:ascii="Century Gothic" w:eastAsia="Century Gothic" w:hAnsi="Century Gothic" w:cs="Century Gothic"/>
                <w:sz w:val="14"/>
                <w:szCs w:val="14"/>
              </w:rPr>
              <w:lastRenderedPageBreak/>
              <w:t>Vigencia de los poderes actualizada.</w:t>
            </w:r>
          </w:p>
        </w:tc>
        <w:tc>
          <w:tcPr>
            <w:tcW w:w="4950" w:type="dxa"/>
            <w:shd w:val="clear" w:color="auto" w:fill="FFFFFF"/>
          </w:tcPr>
          <w:p w:rsidR="00B7034E" w:rsidRDefault="00B77AE8">
            <w:pPr>
              <w:numPr>
                <w:ilvl w:val="0"/>
                <w:numId w:val="1"/>
              </w:numPr>
              <w:ind w:left="283"/>
              <w:jc w:val="both"/>
              <w:rPr>
                <w:rFonts w:ascii="Century Gothic" w:eastAsia="Century Gothic" w:hAnsi="Century Gothic" w:cs="Century Gothic"/>
                <w:sz w:val="14"/>
                <w:szCs w:val="14"/>
              </w:rPr>
            </w:pPr>
            <w:r>
              <w:rPr>
                <w:rFonts w:ascii="Century Gothic" w:eastAsia="Century Gothic" w:hAnsi="Century Gothic" w:cs="Century Gothic"/>
                <w:sz w:val="14"/>
                <w:szCs w:val="14"/>
              </w:rPr>
              <w:lastRenderedPageBreak/>
              <w:t>Decreto de nombramiento y delegación de firma.</w:t>
            </w:r>
          </w:p>
        </w:tc>
      </w:tr>
      <w:tr w:rsidR="00B7034E">
        <w:trPr>
          <w:trHeight w:val="285"/>
        </w:trPr>
        <w:tc>
          <w:tcPr>
            <w:tcW w:w="4710" w:type="dxa"/>
            <w:vMerge/>
            <w:shd w:val="clear" w:color="auto" w:fill="FFFFFF"/>
          </w:tcPr>
          <w:p w:rsidR="00B7034E" w:rsidRDefault="00B7034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entury Gothic" w:eastAsia="Century Gothic" w:hAnsi="Century Gothic" w:cs="Century Gothic"/>
                <w:sz w:val="14"/>
                <w:szCs w:val="14"/>
              </w:rPr>
            </w:pPr>
          </w:p>
        </w:tc>
        <w:tc>
          <w:tcPr>
            <w:tcW w:w="4950" w:type="dxa"/>
            <w:shd w:val="clear" w:color="auto" w:fill="FFFFFF"/>
          </w:tcPr>
          <w:p w:rsidR="00B7034E" w:rsidRDefault="00B77AE8">
            <w:pPr>
              <w:jc w:val="center"/>
              <w:rPr>
                <w:rFonts w:ascii="Century Gothic" w:eastAsia="Century Gothic" w:hAnsi="Century Gothic" w:cs="Century Gothic"/>
                <w:b/>
                <w:sz w:val="14"/>
                <w:szCs w:val="14"/>
              </w:rPr>
            </w:pPr>
            <w:r>
              <w:rPr>
                <w:rFonts w:ascii="Century Gothic" w:eastAsia="Century Gothic" w:hAnsi="Century Gothic" w:cs="Century Gothic"/>
                <w:b/>
                <w:sz w:val="18"/>
                <w:szCs w:val="18"/>
              </w:rPr>
              <w:t>Personas jurídicas extranjeras</w:t>
            </w:r>
          </w:p>
        </w:tc>
      </w:tr>
      <w:tr w:rsidR="00B7034E">
        <w:trPr>
          <w:trHeight w:val="629"/>
        </w:trPr>
        <w:tc>
          <w:tcPr>
            <w:tcW w:w="4710" w:type="dxa"/>
            <w:vMerge/>
            <w:shd w:val="clear" w:color="auto" w:fill="FFFFFF"/>
          </w:tcPr>
          <w:p w:rsidR="00B7034E" w:rsidRDefault="00B7034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entury Gothic" w:eastAsia="Century Gothic" w:hAnsi="Century Gothic" w:cs="Century Gothic"/>
                <w:b/>
                <w:sz w:val="14"/>
                <w:szCs w:val="14"/>
              </w:rPr>
            </w:pPr>
          </w:p>
        </w:tc>
        <w:tc>
          <w:tcPr>
            <w:tcW w:w="4950" w:type="dxa"/>
            <w:shd w:val="clear" w:color="auto" w:fill="FFFFFF"/>
          </w:tcPr>
          <w:p w:rsidR="00B7034E" w:rsidRDefault="00B77AE8">
            <w:pPr>
              <w:numPr>
                <w:ilvl w:val="0"/>
                <w:numId w:val="1"/>
              </w:numPr>
              <w:ind w:left="283"/>
              <w:jc w:val="both"/>
              <w:rPr>
                <w:rFonts w:ascii="Century Gothic" w:eastAsia="Century Gothic" w:hAnsi="Century Gothic" w:cs="Century Gothic"/>
                <w:sz w:val="14"/>
                <w:szCs w:val="14"/>
              </w:rPr>
            </w:pPr>
            <w:r>
              <w:rPr>
                <w:rFonts w:ascii="Century Gothic" w:eastAsia="Century Gothic" w:hAnsi="Century Gothic" w:cs="Century Gothic"/>
                <w:sz w:val="14"/>
                <w:szCs w:val="14"/>
              </w:rPr>
              <w:t>Documento que dé cuenta que la persona que suscribe tiene el poder para hacerlo.</w:t>
            </w:r>
          </w:p>
          <w:p w:rsidR="00B7034E" w:rsidRDefault="00B77AE8">
            <w:pPr>
              <w:numPr>
                <w:ilvl w:val="0"/>
                <w:numId w:val="1"/>
              </w:numPr>
              <w:ind w:left="283"/>
              <w:jc w:val="both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  <w:r>
              <w:rPr>
                <w:rFonts w:ascii="Century Gothic" w:eastAsia="Century Gothic" w:hAnsi="Century Gothic" w:cs="Century Gothic"/>
                <w:sz w:val="14"/>
                <w:szCs w:val="14"/>
              </w:rPr>
              <w:t>Documento que dé cuenta que la sociedad está vigente.</w:t>
            </w:r>
          </w:p>
        </w:tc>
      </w:tr>
    </w:tbl>
    <w:p w:rsidR="00B7034E" w:rsidRDefault="00B77AE8">
      <w:pPr>
        <w:jc w:val="both"/>
        <w:rPr>
          <w:rFonts w:ascii="Century Gothic" w:eastAsia="Century Gothic" w:hAnsi="Century Gothic" w:cs="Century Gothic"/>
          <w:b/>
          <w:sz w:val="28"/>
          <w:szCs w:val="28"/>
        </w:rPr>
      </w:pPr>
      <w:r>
        <w:rPr>
          <w:rFonts w:ascii="Century Gothic" w:eastAsia="Century Gothic" w:hAnsi="Century Gothic" w:cs="Century Gothic"/>
          <w:sz w:val="20"/>
          <w:szCs w:val="20"/>
        </w:rPr>
        <w:t>Fig. 1. Documentos necesarios para la firma de convenios de participación y/o coejecución.</w:t>
      </w:r>
    </w:p>
    <w:p w:rsidR="00B7034E" w:rsidRDefault="00B77AE8">
      <w:pPr>
        <w:jc w:val="center"/>
        <w:rPr>
          <w:rFonts w:ascii="Century Gothic" w:eastAsia="Century Gothic" w:hAnsi="Century Gothic" w:cs="Century Gothic"/>
          <w:b/>
          <w:sz w:val="28"/>
          <w:szCs w:val="28"/>
        </w:rPr>
      </w:pPr>
      <w:r>
        <w:rPr>
          <w:rFonts w:ascii="Century Gothic" w:eastAsia="Century Gothic" w:hAnsi="Century Gothic" w:cs="Century Gothic"/>
          <w:b/>
          <w:sz w:val="28"/>
          <w:szCs w:val="28"/>
        </w:rPr>
        <w:t>ANEXOS</w:t>
      </w:r>
    </w:p>
    <w:p w:rsidR="00B7034E" w:rsidRDefault="00B7034E">
      <w:pPr>
        <w:jc w:val="center"/>
        <w:rPr>
          <w:rFonts w:ascii="Century Gothic" w:eastAsia="Century Gothic" w:hAnsi="Century Gothic" w:cs="Century Gothic"/>
          <w:b/>
          <w:sz w:val="28"/>
          <w:szCs w:val="28"/>
        </w:rPr>
      </w:pPr>
      <w:bookmarkStart w:id="0" w:name="_heading=h.30j0zll" w:colFirst="0" w:colLast="0"/>
      <w:bookmarkEnd w:id="0"/>
    </w:p>
    <w:p w:rsidR="00B7034E" w:rsidRDefault="00B77AE8">
      <w:pPr>
        <w:jc w:val="both"/>
        <w:rPr>
          <w:rFonts w:ascii="Century Gothic" w:eastAsia="Century Gothic" w:hAnsi="Century Gothic" w:cs="Century Gothic"/>
          <w:sz w:val="20"/>
          <w:szCs w:val="20"/>
        </w:rPr>
      </w:pPr>
      <w:r>
        <w:rPr>
          <w:rFonts w:ascii="Century Gothic" w:eastAsia="Century Gothic" w:hAnsi="Century Gothic" w:cs="Century Gothic"/>
          <w:b/>
        </w:rPr>
        <w:t>Anexo N°1:</w:t>
      </w:r>
      <w:r>
        <w:rPr>
          <w:rFonts w:ascii="Century Gothic" w:eastAsia="Century Gothic" w:hAnsi="Century Gothic" w:cs="Century Gothic"/>
        </w:rPr>
        <w:t xml:space="preserve"> </w:t>
      </w:r>
      <w:r w:rsidR="00CC3313">
        <w:rPr>
          <w:rFonts w:ascii="Century Gothic" w:eastAsia="Century Gothic" w:hAnsi="Century Gothic" w:cs="Century Gothic"/>
          <w:sz w:val="20"/>
          <w:szCs w:val="20"/>
        </w:rPr>
        <w:t>Nómina de concursos con delegación de firma del Vicerrector</w:t>
      </w:r>
    </w:p>
    <w:p w:rsidR="00CC3313" w:rsidRDefault="00CC3313">
      <w:pPr>
        <w:jc w:val="both"/>
        <w:rPr>
          <w:rFonts w:ascii="Century Gothic" w:eastAsia="Century Gothic" w:hAnsi="Century Gothic" w:cs="Century Gothic"/>
          <w:sz w:val="20"/>
          <w:szCs w:val="20"/>
        </w:rPr>
      </w:pPr>
    </w:p>
    <w:p w:rsidR="00CC3313" w:rsidRDefault="00CC3313">
      <w:pPr>
        <w:jc w:val="both"/>
        <w:rPr>
          <w:rFonts w:ascii="Century Gothic" w:eastAsia="Century Gothic" w:hAnsi="Century Gothic" w:cs="Century Gothic"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854"/>
        <w:gridCol w:w="3336"/>
        <w:gridCol w:w="3829"/>
      </w:tblGrid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  <w:t>AGENCIA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  <w:t>SUBDIRECCION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  <w:t>CONCURSOS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SUBDIRECCIÓN PROYECTOS DE INVESTIGACION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FONDECYT REGULAR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SUBDIRECCIÓN PROYECTOS DE INVESTIGACION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FONDECYT INICIACIÓN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SUBDIRECCIÓN PROYECTOS DE INVESTIGACION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FONDECYT POSTDOCTORAL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SUBDIRECCIÓN PROYECTOS DE INVESTIGACION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EXPLORACION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SUBDIRECCIÓN INVESTIGACIÓN APLICADA E INNOVACIÓN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(NAM) Desafío Global de Longevidad Saludable 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SUBDIRECCIÓN INVESTIGACIÓN APLICADA E INNOVACIÓN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Tesis de doctorado en el Sector Productivo 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SUBDIRECCIÓN INVESTIGACIÓN APLICADA E INNOVACIÓN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START UP CIENCIA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SUBDIRECCIÓN INVESTIGACIÓN APLICADA E INNOVACIÓN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FONDEF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SUBDIRECCIÓN INVESTIGACIÓN APLICADA E INNOVACIÓN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FONIS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SUBDIRECCIÓN INVESTIGACIÓN APLICADA E INNOVACIÓN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VIU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SUBDIRECCIÓN INVESTIGACIÓN APLICADA E INNOVACIÓN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Tecnologías Avanzadas 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Subdirección de Centros e Investigación Asociativa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Concurso Nacional Extraordinario de Centros de Excelencia en Investigación en Áreas Prioritarias 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Subdirección de Centros e Investigación Asociativa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Concurso Apoyo Centros de Excelencia 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Subdirección de Centros e Investigación Asociativa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FONDEQUIP MEDIANO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lastRenderedPageBreak/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Subdirección de Centros e Investigación Asociativa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FONDEQUIP MAYOR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Subdirección de Centros e Investigación Asociativa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CENTRO DE SERVICIOS 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Subdirección de Centros e Investigación Asociativa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Regional 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Subdirección de Centros e Investigación Asociativa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Anillos en Cs. &amp;Tecnología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Subdirección de Centros e Investigación Asociativa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Anillos Temáticos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Subdirección de Centros e Investigación Asociativa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ANILLOS CS. SOCIALES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Subdirección de Centros e Investigación Asociativa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BASAL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Subdirección de Centros e Investigación Asociativa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FONDAP 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Subdirección de Centros e Investigación Asociativa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INSTITUTOS MILENIO CS. Exactas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Subdirección de Centros e Investigación Asociativa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INSTITUTOS MILENIO CS. Sociales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Subdirección de Centros e Investigación Asociativa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NUCLEOS MILENIO CS. SOCIALES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Subdirección de Centros e Investigación Asociativa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NUCLEOS MILENIO CS. EXACTAS</w:t>
            </w:r>
          </w:p>
        </w:tc>
      </w:tr>
      <w:tr w:rsidR="00CC3313" w:rsidRPr="00CC3313" w:rsidTr="00CC3313">
        <w:trPr>
          <w:trHeight w:val="915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Subdirección de Centros e Investigación Asociativa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CENTRO E INVESTIGACIÓN ASOCIATIVA FORTALECIMIENTO AL DESARROLLO CIENTIFICO TECNOLOGICO DE CENTROS REGIONALES  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REDES, ESTRATEGIA Y CONOCIMIENTO (REC)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PLURALISMO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REDES, ESTRATEGIA Y CONOCIMIENTO (REC)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PUBLICACIONES REVISTAS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REDES, ESTRATEGIA Y CONOCIMIENTO (REC)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COOPERACION INTERNACIONAL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REDES, ESTRATEGIA Y CONOCIMIENTO (REC)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FOMENTO VINCULACIÓN INTERNACIONAL (FOVI)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REDES, ESTRATEGIA Y CONOCIMIENTO (REC)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ECOS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REDES, ESTRATEGIA Y CONOCIMIENTO (REC)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ERAPerMed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REDES, ESTRATEGIA Y CONOCIMIENTO (REC)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STIC, MATH y CLIMAT AmSud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lastRenderedPageBreak/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REDES, ESTRATEGIA Y CONOCIMIENTO (REC)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Chile- Alemania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REDES, ESTRATEGIA Y CONOCIMIENTO (REC)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CIENCIA e innovación 2030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REDES, ESTRATEGIA Y CONOCIMIENTO (REC)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CONOCIMIENTO 2030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REDES, ESTRATEGIA Y CONOCIMIENTO (REC)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INES género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REDES, ESTRATEGIA Y CONOCIMIENTO (REC)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INES Ciencia Abierta 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REDES, ESTRATEGIA Y CONOCIMIENTO (REC)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INES innovación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REDES, ESTRATEGIA Y CONOCIMIENTO (REC)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DESAFÍOS DE INNOVACIÓN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REDES, ESTRATEGIA Y CONOCIMIENTO (REC)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FICOV </w:t>
            </w:r>
          </w:p>
        </w:tc>
      </w:tr>
      <w:tr w:rsidR="00CC3313" w:rsidRPr="00CC3313" w:rsidTr="00CC3313">
        <w:trPr>
          <w:trHeight w:val="93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REDES, ESTRATEGIA Y CONOCIMIENTO (REC)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CONCURSO FONDO</w:t>
            </w: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br/>
              <w:t>DE INVESTIGACIÓN ESTRATÉGICA EN</w:t>
            </w: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br/>
              <w:t>SEQUÍA (ASIGNACIÓN RÁPIDA)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REDES, ESTRATEGIA Y CONOCIMIENTO (REC)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COVID 19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REDES, ESTRATEGIA Y CONOCIMIENTO (REC)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FONDOS DE ASTRONOMÍA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REDES, ESTRATEGIA Y CONOCIMIENTO (REC)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NODOS TERRITORIALES ANID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REDES, ESTRATEGIA Y CONOCIMIENTO (REC)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Desafíos para la recuperación post-incendios forestales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REDES, ESTRATEGIA Y CONOCIMIENTO (REC)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OTL 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CAPITAL HUMANO 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Subvensión en la Instalación en la Academia 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 Chile – CONCYTEC Perú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BIOTECNOLOGIA CHILE-PERU COVID19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ANID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Comisión de cooperación Chile México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Fondo Chile Mexico de AGCID (MIN Relac. Internacionales)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vMerge w:val="restart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MINISTERIO DESARROLLO SOCIAL Y FAMILIA</w:t>
            </w:r>
          </w:p>
        </w:tc>
        <w:tc>
          <w:tcPr>
            <w:tcW w:w="4282" w:type="dxa"/>
            <w:vMerge w:val="restart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 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Concursos Ministerio Desarrollo Social y familia (PARA VIVIR MEJOR)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4282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RIS INVESTIGACIÓN </w:t>
            </w:r>
          </w:p>
        </w:tc>
      </w:tr>
      <w:tr w:rsidR="00CC3313" w:rsidRPr="00CC3313" w:rsidTr="00CC3313">
        <w:trPr>
          <w:trHeight w:val="123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SUBSECRETARIA DESARROLLO REGIONAL DEL MINISTERIO DEL INTERIOR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 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Fondo Nacional de Desarrollo Regional (FNDR REGION METROPOLITANA)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vMerge w:val="restart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FONDO INNOVACION </w:t>
            </w: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lastRenderedPageBreak/>
              <w:t>PARA LA COMPETITIVIDAD (FIC)</w:t>
            </w:r>
          </w:p>
        </w:tc>
        <w:tc>
          <w:tcPr>
            <w:tcW w:w="4282" w:type="dxa"/>
            <w:vMerge w:val="restart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lastRenderedPageBreak/>
              <w:t> 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FIC  REGIONAL ARICA Y PARINACOTA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4282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FIC REGIONAL TARAPACA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4282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FIC REGIONAL ANTOFAGASTA 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4282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FIC REGIONAL COQUIMBO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4282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FIC REGIONAL VAPARAISO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4282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FIC REGIONAL METROPOLITANA 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4282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FIC REGIONAL COQUIMBO 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4282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FIC REGIONAL O`HIGGINS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4282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FIC REGIONAL  MAULE 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4282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FIC REGIONAL ÑUBLE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4282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FIC REGIONAL BIO BIO 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4282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FIC REGIONAL LOS RIOS 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4282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FIC REGIONAL LOS LAGOS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4282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FIC REGIONAL AYSEN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4282" w:type="dxa"/>
            <w:vMerge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FIC REGIONAL MAGALLANES Y ANTARTICA </w:t>
            </w:r>
          </w:p>
        </w:tc>
      </w:tr>
      <w:tr w:rsidR="00CC3313" w:rsidRPr="00CC3313" w:rsidTr="00CC3313">
        <w:trPr>
          <w:trHeight w:val="645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FUNDACION COPEC-UC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 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CONCURSO I+D PARA INNOVAR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FUNDACION COPEC-UC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 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CONCURSO APLICA TU IDEA</w:t>
            </w:r>
          </w:p>
        </w:tc>
      </w:tr>
      <w:tr w:rsidR="00CC3313" w:rsidRPr="00CC3313" w:rsidTr="00CC3313">
        <w:trPr>
          <w:trHeight w:val="705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BANCO SANTANDER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NA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FONDO JOVENES INVESTIGADORES</w:t>
            </w:r>
          </w:p>
        </w:tc>
      </w:tr>
      <w:tr w:rsidR="00CC3313" w:rsidRPr="00CC3313" w:rsidTr="00CC3313">
        <w:trPr>
          <w:trHeight w:val="765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BANCO SANTANDER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NA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PREMIO SANTANDER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FIA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NA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Proyectos y estudios de innovación Bienes públicos y Bienes privados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CONAF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NA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 Fondo de investigación del Bosque Nativo (CONAF)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SENADIS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NA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Fondo Nacional de Proyectos inclusivos (FONAPI)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INACH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NA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Concurso Nacional de Proyectos de Investigación Científica y Tecnológica Antártica</w:t>
            </w:r>
          </w:p>
        </w:tc>
      </w:tr>
      <w:tr w:rsidR="00CC3313" w:rsidRPr="00CC3313" w:rsidTr="00CC3313">
        <w:trPr>
          <w:trHeight w:val="6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INACH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NA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CONCURSO DE FONDOS DE APOYO A TESIS DE POSTGRADO EN TEMAS ANTÁRTICOS</w:t>
            </w:r>
          </w:p>
        </w:tc>
      </w:tr>
      <w:tr w:rsidR="00CC3313" w:rsidRPr="00CC3313" w:rsidTr="00CC3313">
        <w:trPr>
          <w:trHeight w:val="12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CORFO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Gerencia de redes y territorios, Gerenica capacidades tecnológicas, gerencia de innovación, gerencia de emprendimiento, Vicepresidencia ejecutiva, entre otras.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Concursos CORFO: Bienes públicos, programas de gerencia de capacidades tecnológicas, innovación, emprendimiento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CORFO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Vicepresidencia ejecutiva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Centros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lastRenderedPageBreak/>
              <w:t>CORFO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Gerencia capacidades tecnológicas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RETOS DE INNOVACIÓN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CORFO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Gerencia capacidades tecnológicas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Ciencia e innovación 2030  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CORFO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Gerencia capacidades tecnológicas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Cambio climático 2023</w:t>
            </w:r>
          </w:p>
        </w:tc>
      </w:tr>
      <w:tr w:rsidR="00CC3313" w:rsidRPr="00CC3313" w:rsidTr="00CC3313">
        <w:trPr>
          <w:trHeight w:val="3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CORFO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Gerencia capacidades tecnológicas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Diversificación acuícola 2023</w:t>
            </w:r>
          </w:p>
        </w:tc>
      </w:tr>
      <w:tr w:rsidR="00CC3313" w:rsidRPr="00CC3313" w:rsidTr="00CC3313">
        <w:trPr>
          <w:trHeight w:val="555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MINISTERIO CIENCIA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 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Ciencia Pública, Productos de divulgación</w:t>
            </w:r>
          </w:p>
        </w:tc>
      </w:tr>
      <w:tr w:rsidR="00CC3313" w:rsidRPr="00CC3313" w:rsidTr="00CC3313">
        <w:trPr>
          <w:trHeight w:val="57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MINISTERIO CIENCIA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 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Ciencia Pública, Espacios Públicos Regionales</w:t>
            </w:r>
          </w:p>
        </w:tc>
      </w:tr>
      <w:tr w:rsidR="00CC3313" w:rsidRPr="00CC3313" w:rsidTr="00CC3313">
        <w:trPr>
          <w:trHeight w:val="645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MINISTERIO CIENCIA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 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Festival de las Ciencias</w:t>
            </w:r>
          </w:p>
        </w:tc>
      </w:tr>
      <w:tr w:rsidR="00CC3313" w:rsidRPr="00CC3313" w:rsidTr="00CC3313">
        <w:trPr>
          <w:trHeight w:val="63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MINISTERIO CIENCIA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 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EXPLORA</w:t>
            </w:r>
          </w:p>
        </w:tc>
      </w:tr>
      <w:tr w:rsidR="00CC3313" w:rsidRPr="00CC3313" w:rsidTr="00CC3313">
        <w:trPr>
          <w:trHeight w:val="1200"/>
        </w:trPr>
        <w:tc>
          <w:tcPr>
            <w:tcW w:w="1606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Comisión Nacional de Acreditación CNA</w:t>
            </w:r>
          </w:p>
        </w:tc>
        <w:tc>
          <w:tcPr>
            <w:tcW w:w="428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 </w:t>
            </w:r>
          </w:p>
        </w:tc>
        <w:tc>
          <w:tcPr>
            <w:tcW w:w="5032" w:type="dxa"/>
            <w:hideMark/>
          </w:tcPr>
          <w:p w:rsidR="00CC3313" w:rsidRPr="00CC3313" w:rsidRDefault="00CC3313" w:rsidP="00CC3313">
            <w:pPr>
              <w:jc w:val="both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CC3313">
              <w:rPr>
                <w:rFonts w:ascii="Century Gothic" w:eastAsia="Century Gothic" w:hAnsi="Century Gothic" w:cs="Century Gothic"/>
                <w:sz w:val="20"/>
                <w:szCs w:val="20"/>
              </w:rPr>
              <w:t>Proyectos de investigación</w:t>
            </w:r>
          </w:p>
        </w:tc>
      </w:tr>
    </w:tbl>
    <w:p w:rsidR="00CC3313" w:rsidRDefault="00CC3313">
      <w:pPr>
        <w:jc w:val="both"/>
        <w:rPr>
          <w:rFonts w:ascii="Century Gothic" w:eastAsia="Century Gothic" w:hAnsi="Century Gothic" w:cs="Century Gothic"/>
          <w:sz w:val="20"/>
          <w:szCs w:val="20"/>
        </w:rPr>
      </w:pPr>
    </w:p>
    <w:p w:rsidR="00CC3313" w:rsidRDefault="00CC3313">
      <w:pPr>
        <w:jc w:val="both"/>
        <w:rPr>
          <w:rFonts w:ascii="Century Gothic" w:eastAsia="Century Gothic" w:hAnsi="Century Gothic" w:cs="Century Gothic"/>
          <w:sz w:val="20"/>
          <w:szCs w:val="20"/>
        </w:rPr>
      </w:pPr>
    </w:p>
    <w:p w:rsidR="00B7034E" w:rsidRPr="00CC3313" w:rsidRDefault="00B77AE8" w:rsidP="00CC3313">
      <w:pPr>
        <w:shd w:val="clear" w:color="auto" w:fill="FFFFFF"/>
        <w:spacing w:before="220" w:line="240" w:lineRule="auto"/>
        <w:jc w:val="both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 xml:space="preserve">Para Consultas de las Postulaciones a Concursos  externos contactar a Analistas o a </w:t>
      </w:r>
      <w:r>
        <w:rPr>
          <w:rFonts w:ascii="Century Gothic" w:eastAsia="Century Gothic" w:hAnsi="Century Gothic" w:cs="Century Gothic"/>
          <w:b/>
        </w:rPr>
        <w:t>Paulina Caro</w:t>
      </w:r>
      <w:r>
        <w:rPr>
          <w:rFonts w:ascii="Century Gothic" w:eastAsia="Century Gothic" w:hAnsi="Century Gothic" w:cs="Century Gothic"/>
        </w:rPr>
        <w:t xml:space="preserve">: Jefa de la Unidad de Proyectos, correo: </w:t>
      </w:r>
      <w:r>
        <w:rPr>
          <w:rFonts w:ascii="Century Gothic" w:eastAsia="Century Gothic" w:hAnsi="Century Gothic" w:cs="Century Gothic"/>
          <w:color w:val="0000FF"/>
        </w:rPr>
        <w:t xml:space="preserve">paulina.caro@uchile. cl , </w:t>
      </w:r>
      <w:r w:rsidR="00CC3313">
        <w:rPr>
          <w:rFonts w:ascii="Century Gothic" w:eastAsia="Century Gothic" w:hAnsi="Century Gothic" w:cs="Century Gothic"/>
        </w:rPr>
        <w:t>teléfono: 22 978234</w:t>
      </w:r>
    </w:p>
    <w:p w:rsidR="00B7034E" w:rsidRDefault="00B7034E">
      <w:pPr>
        <w:jc w:val="both"/>
        <w:rPr>
          <w:rFonts w:ascii="Century Gothic" w:eastAsia="Century Gothic" w:hAnsi="Century Gothic" w:cs="Century Gothic"/>
          <w:sz w:val="24"/>
          <w:szCs w:val="24"/>
        </w:rPr>
      </w:pPr>
    </w:p>
    <w:p w:rsidR="00CC3313" w:rsidRDefault="00CC3313">
      <w:pPr>
        <w:jc w:val="both"/>
        <w:rPr>
          <w:rFonts w:ascii="Century Gothic" w:eastAsia="Century Gothic" w:hAnsi="Century Gothic" w:cs="Century Gothic"/>
          <w:sz w:val="24"/>
          <w:szCs w:val="24"/>
        </w:rPr>
      </w:pPr>
    </w:p>
    <w:p w:rsidR="00CC3313" w:rsidRDefault="00CC3313">
      <w:pPr>
        <w:jc w:val="both"/>
        <w:rPr>
          <w:rFonts w:ascii="Century Gothic" w:eastAsia="Century Gothic" w:hAnsi="Century Gothic" w:cs="Century Gothic"/>
          <w:sz w:val="24"/>
          <w:szCs w:val="24"/>
        </w:rPr>
      </w:pPr>
    </w:p>
    <w:p w:rsidR="00CC3313" w:rsidRDefault="00CC3313">
      <w:pPr>
        <w:jc w:val="both"/>
        <w:rPr>
          <w:rFonts w:ascii="Century Gothic" w:eastAsia="Century Gothic" w:hAnsi="Century Gothic" w:cs="Century Gothic"/>
          <w:sz w:val="24"/>
          <w:szCs w:val="24"/>
        </w:rPr>
      </w:pPr>
    </w:p>
    <w:p w:rsidR="00CC3313" w:rsidRDefault="00CC3313">
      <w:pPr>
        <w:jc w:val="both"/>
        <w:rPr>
          <w:rFonts w:ascii="Century Gothic" w:eastAsia="Century Gothic" w:hAnsi="Century Gothic" w:cs="Century Gothic"/>
          <w:sz w:val="24"/>
          <w:szCs w:val="24"/>
        </w:rPr>
      </w:pPr>
    </w:p>
    <w:p w:rsidR="00CC3313" w:rsidRDefault="00CC3313">
      <w:pPr>
        <w:jc w:val="both"/>
        <w:rPr>
          <w:rFonts w:ascii="Century Gothic" w:eastAsia="Century Gothic" w:hAnsi="Century Gothic" w:cs="Century Gothic"/>
          <w:sz w:val="24"/>
          <w:szCs w:val="24"/>
        </w:rPr>
      </w:pPr>
    </w:p>
    <w:p w:rsidR="00CC3313" w:rsidRDefault="00CC3313">
      <w:pPr>
        <w:jc w:val="both"/>
        <w:rPr>
          <w:rFonts w:ascii="Century Gothic" w:eastAsia="Century Gothic" w:hAnsi="Century Gothic" w:cs="Century Gothic"/>
          <w:sz w:val="24"/>
          <w:szCs w:val="24"/>
        </w:rPr>
      </w:pPr>
    </w:p>
    <w:p w:rsidR="00CC3313" w:rsidRDefault="00CC3313">
      <w:pPr>
        <w:jc w:val="both"/>
        <w:rPr>
          <w:rFonts w:ascii="Century Gothic" w:eastAsia="Century Gothic" w:hAnsi="Century Gothic" w:cs="Century Gothic"/>
          <w:sz w:val="24"/>
          <w:szCs w:val="24"/>
        </w:rPr>
      </w:pPr>
    </w:p>
    <w:p w:rsidR="00CC3313" w:rsidRDefault="00CC3313">
      <w:pPr>
        <w:jc w:val="both"/>
        <w:rPr>
          <w:rFonts w:ascii="Century Gothic" w:eastAsia="Century Gothic" w:hAnsi="Century Gothic" w:cs="Century Gothic"/>
          <w:sz w:val="24"/>
          <w:szCs w:val="24"/>
        </w:rPr>
      </w:pPr>
    </w:p>
    <w:p w:rsidR="00CC3313" w:rsidRDefault="00CC3313">
      <w:pPr>
        <w:jc w:val="both"/>
        <w:rPr>
          <w:rFonts w:ascii="Century Gothic" w:eastAsia="Century Gothic" w:hAnsi="Century Gothic" w:cs="Century Gothic"/>
          <w:sz w:val="24"/>
          <w:szCs w:val="24"/>
        </w:rPr>
      </w:pPr>
    </w:p>
    <w:p w:rsidR="00CC3313" w:rsidRDefault="00CC3313">
      <w:pPr>
        <w:jc w:val="both"/>
        <w:rPr>
          <w:rFonts w:ascii="Century Gothic" w:eastAsia="Century Gothic" w:hAnsi="Century Gothic" w:cs="Century Gothic"/>
          <w:sz w:val="24"/>
          <w:szCs w:val="24"/>
        </w:rPr>
      </w:pPr>
    </w:p>
    <w:p w:rsidR="00CC3313" w:rsidRDefault="00CC3313">
      <w:pPr>
        <w:jc w:val="both"/>
        <w:rPr>
          <w:rFonts w:ascii="Century Gothic" w:eastAsia="Century Gothic" w:hAnsi="Century Gothic" w:cs="Century Gothic"/>
          <w:sz w:val="24"/>
          <w:szCs w:val="24"/>
        </w:rPr>
      </w:pPr>
    </w:p>
    <w:p w:rsidR="00CC3313" w:rsidRDefault="00CC3313">
      <w:pPr>
        <w:jc w:val="both"/>
        <w:rPr>
          <w:rFonts w:ascii="Century Gothic" w:eastAsia="Century Gothic" w:hAnsi="Century Gothic" w:cs="Century Gothic"/>
          <w:sz w:val="24"/>
          <w:szCs w:val="24"/>
        </w:rPr>
      </w:pPr>
    </w:p>
    <w:p w:rsidR="00CC3313" w:rsidRDefault="00CC3313">
      <w:pPr>
        <w:jc w:val="both"/>
        <w:rPr>
          <w:rFonts w:ascii="Century Gothic" w:eastAsia="Century Gothic" w:hAnsi="Century Gothic" w:cs="Century Gothic"/>
          <w:sz w:val="24"/>
          <w:szCs w:val="24"/>
        </w:rPr>
      </w:pPr>
      <w:bookmarkStart w:id="1" w:name="_GoBack"/>
      <w:bookmarkEnd w:id="1"/>
    </w:p>
    <w:tbl>
      <w:tblPr>
        <w:tblStyle w:val="a4"/>
        <w:tblW w:w="9015" w:type="dxa"/>
        <w:tblInd w:w="0" w:type="dxa"/>
        <w:tblLayout w:type="fixed"/>
        <w:tblLook w:val="0600" w:firstRow="0" w:lastRow="0" w:firstColumn="0" w:lastColumn="0" w:noHBand="1" w:noVBand="1"/>
      </w:tblPr>
      <w:tblGrid>
        <w:gridCol w:w="4050"/>
        <w:gridCol w:w="585"/>
        <w:gridCol w:w="4380"/>
      </w:tblGrid>
      <w:tr w:rsidR="00B7034E">
        <w:tc>
          <w:tcPr>
            <w:tcW w:w="4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034E" w:rsidRDefault="00B77AE8">
            <w:pPr>
              <w:jc w:val="both"/>
              <w:rPr>
                <w:rFonts w:ascii="Century Gothic" w:eastAsia="Century Gothic" w:hAnsi="Century Gothic" w:cs="Century Gothic"/>
                <w:b/>
                <w:sz w:val="22"/>
                <w:szCs w:val="22"/>
              </w:rPr>
            </w:pPr>
            <w:r>
              <w:rPr>
                <w:rFonts w:ascii="Century Gothic" w:eastAsia="Century Gothic" w:hAnsi="Century Gothic" w:cs="Century Gothic"/>
                <w:b/>
                <w:sz w:val="22"/>
                <w:szCs w:val="22"/>
              </w:rPr>
              <w:lastRenderedPageBreak/>
              <w:t>Anexo N°2:</w:t>
            </w:r>
          </w:p>
          <w:p w:rsidR="00B7034E" w:rsidRDefault="00B77AE8">
            <w:pPr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Carta de compromiso Institucional firma Decano/a, Director/a Instituto u Hospital. Formato VID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034E" w:rsidRDefault="00B7034E">
            <w:pPr>
              <w:jc w:val="both"/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034E" w:rsidRDefault="00B77AE8">
            <w:pPr>
              <w:jc w:val="both"/>
              <w:rPr>
                <w:rFonts w:ascii="Century Gothic" w:eastAsia="Century Gothic" w:hAnsi="Century Gothic" w:cs="Century Gothic"/>
                <w:b/>
              </w:rPr>
            </w:pPr>
            <w:r>
              <w:rPr>
                <w:rFonts w:ascii="Century Gothic" w:eastAsia="Century Gothic" w:hAnsi="Century Gothic" w:cs="Century Gothic"/>
                <w:b/>
                <w:sz w:val="22"/>
                <w:szCs w:val="22"/>
              </w:rPr>
              <w:t>Anexo N°3:</w:t>
            </w:r>
          </w:p>
          <w:p w:rsidR="00B7034E" w:rsidRDefault="00B77AE8">
            <w:pPr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Carta de Declaración de P.I, firma Director/a del Proyecto postulado. Formato VID</w:t>
            </w:r>
          </w:p>
        </w:tc>
      </w:tr>
      <w:tr w:rsidR="00B7034E">
        <w:tc>
          <w:tcPr>
            <w:tcW w:w="4050" w:type="dxa"/>
            <w:tcBorders>
              <w:top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034E" w:rsidRDefault="00B77AE8">
            <w:pPr>
              <w:jc w:val="center"/>
              <w:rPr>
                <w:rFonts w:ascii="Century Gothic" w:eastAsia="Century Gothic" w:hAnsi="Century Gothic" w:cs="Century Gothic"/>
                <w:sz w:val="24"/>
                <w:szCs w:val="24"/>
              </w:rPr>
            </w:pPr>
            <w:r>
              <w:rPr>
                <w:rFonts w:ascii="Century Gothic" w:eastAsia="Century Gothic" w:hAnsi="Century Gothic" w:cs="Century Gothic"/>
                <w:noProof/>
                <w:sz w:val="24"/>
                <w:szCs w:val="24"/>
                <w:lang w:val="es-CL"/>
              </w:rPr>
              <w:drawing>
                <wp:inline distT="114300" distB="114300" distL="114300" distR="114300">
                  <wp:extent cx="2459646" cy="3609611"/>
                  <wp:effectExtent l="12700" t="12700" r="12700" b="12700"/>
                  <wp:docPr id="1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9646" cy="3609611"/>
                          </a:xfrm>
                          <a:prstGeom prst="rect">
                            <a:avLst/>
                          </a:pr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5" w:type="dxa"/>
            <w:tcBorders>
              <w:top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034E" w:rsidRDefault="00B7034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sz w:val="24"/>
                <w:szCs w:val="24"/>
              </w:rPr>
            </w:pPr>
          </w:p>
        </w:tc>
        <w:tc>
          <w:tcPr>
            <w:tcW w:w="4380" w:type="dxa"/>
            <w:tcBorders>
              <w:top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7034E" w:rsidRDefault="00B77AE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sz w:val="24"/>
                <w:szCs w:val="24"/>
              </w:rPr>
            </w:pPr>
            <w:r>
              <w:rPr>
                <w:rFonts w:ascii="Century Gothic" w:eastAsia="Century Gothic" w:hAnsi="Century Gothic" w:cs="Century Gothic"/>
                <w:noProof/>
                <w:sz w:val="24"/>
                <w:szCs w:val="24"/>
                <w:lang w:val="es-CL"/>
              </w:rPr>
              <w:drawing>
                <wp:inline distT="114300" distB="114300" distL="114300" distR="114300">
                  <wp:extent cx="2627112" cy="3609983"/>
                  <wp:effectExtent l="12700" t="12700" r="12700" b="12700"/>
                  <wp:docPr id="13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27112" cy="3609983"/>
                          </a:xfrm>
                          <a:prstGeom prst="rect">
                            <a:avLst/>
                          </a:pr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7034E" w:rsidRDefault="00B7034E"/>
    <w:sectPr w:rsidR="00B7034E">
      <w:headerReference w:type="default" r:id="rId11"/>
      <w:footerReference w:type="default" r:id="rId12"/>
      <w:headerReference w:type="first" r:id="rId13"/>
      <w:footerReference w:type="first" r:id="rId14"/>
      <w:pgSz w:w="11909" w:h="16834"/>
      <w:pgMar w:top="3259" w:right="1440" w:bottom="1440" w:left="1440" w:header="720" w:footer="720" w:gutter="0"/>
      <w:pgNumType w:start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3B28" w:rsidRDefault="00D53B28">
      <w:pPr>
        <w:spacing w:line="240" w:lineRule="auto"/>
      </w:pPr>
      <w:r>
        <w:separator/>
      </w:r>
    </w:p>
  </w:endnote>
  <w:endnote w:type="continuationSeparator" w:id="0">
    <w:p w:rsidR="00D53B28" w:rsidRDefault="00D53B2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034E" w:rsidRDefault="00B77AE8">
    <w:pPr>
      <w:jc w:val="right"/>
    </w:pPr>
    <w:r>
      <w:fldChar w:fldCharType="begin"/>
    </w:r>
    <w:r>
      <w:instrText>PAGE</w:instrText>
    </w:r>
    <w:r>
      <w:fldChar w:fldCharType="separate"/>
    </w:r>
    <w:r w:rsidR="00E53282">
      <w:rPr>
        <w:noProof/>
      </w:rPr>
      <w:t>1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034E" w:rsidRDefault="00B77AE8">
    <w:pPr>
      <w:jc w:val="right"/>
    </w:pPr>
    <w:r>
      <w:fldChar w:fldCharType="begin"/>
    </w:r>
    <w:r>
      <w:instrText>PAGE</w:instrText>
    </w:r>
    <w:r>
      <w:fldChar w:fldCharType="separate"/>
    </w:r>
    <w:r w:rsidR="00CC3313">
      <w:rPr>
        <w:noProof/>
      </w:rPr>
      <w:t>0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3B28" w:rsidRDefault="00D53B28">
      <w:pPr>
        <w:spacing w:line="240" w:lineRule="auto"/>
      </w:pPr>
      <w:r>
        <w:separator/>
      </w:r>
    </w:p>
  </w:footnote>
  <w:footnote w:type="continuationSeparator" w:id="0">
    <w:p w:rsidR="00D53B28" w:rsidRDefault="00D53B2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034E" w:rsidRDefault="00B7034E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</w:pPr>
  </w:p>
  <w:p w:rsidR="00B7034E" w:rsidRDefault="00B77AE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rPr>
        <w:color w:val="000000"/>
      </w:rPr>
    </w:pPr>
    <w:r>
      <w:rPr>
        <w:noProof/>
        <w:lang w:val="es-CL"/>
      </w:rPr>
      <w:drawing>
        <wp:inline distT="114300" distB="114300" distL="114300" distR="114300">
          <wp:extent cx="2092466" cy="862013"/>
          <wp:effectExtent l="0" t="0" r="0" b="0"/>
          <wp:docPr id="11" name="image3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092466" cy="86201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color w:val="000000"/>
      </w:rPr>
      <w:t xml:space="preserve">                                                        </w:t>
    </w:r>
    <w:r>
      <w:rPr>
        <w:rFonts w:ascii="Calibri" w:eastAsia="Calibri" w:hAnsi="Calibri" w:cs="Calibri"/>
        <w:noProof/>
        <w:lang w:val="es-CL"/>
      </w:rPr>
      <w:drawing>
        <wp:inline distT="114300" distB="114300" distL="114300" distR="114300">
          <wp:extent cx="1189672" cy="1200150"/>
          <wp:effectExtent l="0" t="0" r="0" b="0"/>
          <wp:docPr id="16" name="image4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jp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89672" cy="12001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034E" w:rsidRDefault="00B77AE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rPr>
        <w:color w:val="000000"/>
      </w:rPr>
    </w:pPr>
    <w:r>
      <w:rPr>
        <w:color w:val="000000"/>
      </w:rPr>
      <w:t xml:space="preserve">  </w:t>
    </w:r>
    <w:r>
      <w:rPr>
        <w:noProof/>
        <w:lang w:val="es-CL"/>
      </w:rPr>
      <w:drawing>
        <wp:inline distT="114300" distB="114300" distL="114300" distR="114300">
          <wp:extent cx="2096453" cy="867169"/>
          <wp:effectExtent l="0" t="0" r="0" b="0"/>
          <wp:docPr id="14" name="image5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5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096453" cy="86716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color w:val="000000"/>
      </w:rPr>
      <w:t xml:space="preserve">                                                     </w:t>
    </w:r>
    <w:r>
      <w:rPr>
        <w:rFonts w:ascii="Calibri" w:eastAsia="Calibri" w:hAnsi="Calibri" w:cs="Calibri"/>
        <w:noProof/>
        <w:lang w:val="es-CL"/>
      </w:rPr>
      <w:drawing>
        <wp:inline distT="114300" distB="114300" distL="114300" distR="114300">
          <wp:extent cx="1189672" cy="1200150"/>
          <wp:effectExtent l="0" t="0" r="0" b="0"/>
          <wp:docPr id="15" name="image4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jp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89672" cy="12001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FA3625"/>
    <w:multiLevelType w:val="multilevel"/>
    <w:tmpl w:val="C450E10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ADF3878"/>
    <w:multiLevelType w:val="multilevel"/>
    <w:tmpl w:val="3EDC12F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0ED93A95"/>
    <w:multiLevelType w:val="multilevel"/>
    <w:tmpl w:val="570CE722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266F3959"/>
    <w:multiLevelType w:val="multilevel"/>
    <w:tmpl w:val="88B4C6B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3FDF19CE"/>
    <w:multiLevelType w:val="multilevel"/>
    <w:tmpl w:val="7540822A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46ED3DE2"/>
    <w:multiLevelType w:val="multilevel"/>
    <w:tmpl w:val="76982ED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4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34E"/>
    <w:rsid w:val="00B7034E"/>
    <w:rsid w:val="00B77AE8"/>
    <w:rsid w:val="00CC3313"/>
    <w:rsid w:val="00D53B28"/>
    <w:rsid w:val="00E53282"/>
    <w:rsid w:val="00E56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F22814"/>
  <w15:docId w15:val="{62941593-6F52-4DBD-8DD8-983B424BBF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s" w:eastAsia="es-C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pPr>
      <w:spacing w:line="240" w:lineRule="auto"/>
    </w:pPr>
    <w:rPr>
      <w:rFonts w:ascii="Calibri" w:eastAsia="Calibri" w:hAnsi="Calibri" w:cs="Calibri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332723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32723"/>
  </w:style>
  <w:style w:type="paragraph" w:styleId="Piedepgina">
    <w:name w:val="footer"/>
    <w:basedOn w:val="Normal"/>
    <w:link w:val="PiedepginaCar"/>
    <w:uiPriority w:val="99"/>
    <w:unhideWhenUsed/>
    <w:rsid w:val="00332723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32723"/>
  </w:style>
  <w:style w:type="table" w:customStyle="1" w:styleId="a2">
    <w:basedOn w:val="TableNormal0"/>
    <w:pPr>
      <w:spacing w:line="240" w:lineRule="auto"/>
    </w:pPr>
    <w:rPr>
      <w:rFonts w:ascii="Calibri" w:eastAsia="Calibri" w:hAnsi="Calibri" w:cs="Calibri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0"/>
    <w:pPr>
      <w:spacing w:line="240" w:lineRule="auto"/>
    </w:pPr>
    <w:rPr>
      <w:rFonts w:ascii="Calibri" w:eastAsia="Calibri" w:hAnsi="Calibri" w:cs="Calibri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0"/>
    <w:pPr>
      <w:spacing w:line="240" w:lineRule="auto"/>
    </w:pPr>
    <w:rPr>
      <w:rFonts w:ascii="Calibri" w:eastAsia="Calibri" w:hAnsi="Calibri" w:cs="Calibri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Tablaconcuadrcula">
    <w:name w:val="Table Grid"/>
    <w:basedOn w:val="Tablanormal"/>
    <w:uiPriority w:val="39"/>
    <w:rsid w:val="00CC331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516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5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chile.cl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lYTQA5S6MHKu43iI1zWnNeiYjaw==">AMUW2mXdkbWQ2K+VNmgS2sudtiztrwIRGjhJDk0gS2GJ/l0sjijBS6niZgkxHjTRNBtM5L0FvxsYOdgTaOkfQpuEpjWVYJk74dmLKeIElWVhowAJgToE3uLMAilCApsnRjEnAVapnhlD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1994</Words>
  <Characters>10971</Characters>
  <Application>Microsoft Office Word</Application>
  <DocSecurity>0</DocSecurity>
  <Lines>91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María Paulina Caro Caro (paulina.caro)</dc:creator>
  <cp:lastModifiedBy>María Paulina Caro Caro (paulina.caro)</cp:lastModifiedBy>
  <cp:revision>2</cp:revision>
  <dcterms:created xsi:type="dcterms:W3CDTF">2025-03-26T19:27:00Z</dcterms:created>
  <dcterms:modified xsi:type="dcterms:W3CDTF">2025-03-26T19:27:00Z</dcterms:modified>
</cp:coreProperties>
</file>