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PROGRAMA DE CURSOS DE FORMACIÓN GENERAL (CFG) </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SEGUNDO SEMESTRE 2019</w:t>
      </w:r>
    </w:p>
    <w:p w:rsidR="00000000" w:rsidDel="00000000" w:rsidP="00000000" w:rsidRDefault="00000000" w:rsidRPr="00000000" w14:paraId="00000005">
      <w:pPr>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1. NOMBRE Y CÓDIGO DEL CURSO</w:t>
      </w:r>
    </w:p>
    <w:p w:rsidR="00000000" w:rsidDel="00000000" w:rsidP="00000000" w:rsidRDefault="00000000" w:rsidRPr="00000000" w14:paraId="00000008">
      <w:pPr>
        <w:rPr>
          <w:rFonts w:ascii="Arial" w:cs="Arial" w:eastAsia="Arial" w:hAnsi="Arial"/>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7415"/>
        <w:tblGridChange w:id="0">
          <w:tblGrid>
            <w:gridCol w:w="1413"/>
            <w:gridCol w:w="7415"/>
          </w:tblGrid>
        </w:tblGridChange>
      </w:tblGrid>
      <w:tr>
        <w:trPr>
          <w:trHeight w:val="400" w:hRule="atLeast"/>
        </w:trPr>
        <w:tc>
          <w:tcPr>
            <w:shd w:fill="f2f2f2" w:val="clear"/>
            <w:vAlign w:val="center"/>
          </w:tcPr>
          <w:p w:rsidR="00000000" w:rsidDel="00000000" w:rsidP="00000000" w:rsidRDefault="00000000" w:rsidRPr="00000000" w14:paraId="000000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w:t>
            </w:r>
          </w:p>
        </w:tc>
        <w:tc>
          <w:tcPr>
            <w:vAlign w:val="center"/>
          </w:tcPr>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“Cátedra Amanda Labarca: Diálogos sobre feminismos, </w:t>
            </w:r>
            <w:r w:rsidDel="00000000" w:rsidR="00000000" w:rsidRPr="00000000">
              <w:rPr>
                <w:rtl w:val="0"/>
              </w:rPr>
              <w:t xml:space="preserve">género</w:t>
            </w:r>
            <w:r w:rsidDel="00000000" w:rsidR="00000000" w:rsidRPr="00000000">
              <w:rPr>
                <w:rtl w:val="0"/>
              </w:rPr>
              <w:t xml:space="preserve"> y democracia”</w:t>
            </w:r>
          </w:p>
          <w:p w:rsidR="00000000" w:rsidDel="00000000" w:rsidP="00000000" w:rsidRDefault="00000000" w:rsidRPr="00000000" w14:paraId="0000000C">
            <w:pPr>
              <w:rPr>
                <w:rFonts w:ascii="Arial" w:cs="Arial" w:eastAsia="Arial" w:hAnsi="Arial"/>
              </w:rPr>
            </w:pPr>
            <w:r w:rsidDel="00000000" w:rsidR="00000000" w:rsidRPr="00000000">
              <w:rPr>
                <w:rtl w:val="0"/>
              </w:rPr>
            </w:r>
          </w:p>
        </w:tc>
      </w:tr>
      <w:tr>
        <w:trPr>
          <w:trHeight w:val="520" w:hRule="atLeast"/>
        </w:trPr>
        <w:tc>
          <w:tcPr>
            <w:shd w:fill="f2f2f2" w:val="clear"/>
            <w:vAlign w:val="center"/>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Código</w:t>
            </w:r>
          </w:p>
        </w:tc>
        <w:tc>
          <w:tcPr>
            <w:vAlign w:val="cente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bl>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2. NOMBRE DE LA ASIGNATURA EN INGLÉS</w:t>
      </w:r>
    </w:p>
    <w:p w:rsidR="00000000" w:rsidDel="00000000" w:rsidP="00000000" w:rsidRDefault="00000000" w:rsidRPr="00000000" w14:paraId="00000011">
      <w:pPr>
        <w:rPr>
          <w:rFonts w:ascii="Arial" w:cs="Arial" w:eastAsia="Arial" w:hAnsi="Aria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12">
            <w:pPr>
              <w:rPr/>
            </w:pPr>
            <w:r w:rsidDel="00000000" w:rsidR="00000000" w:rsidRPr="00000000">
              <w:rPr>
                <w:rtl w:val="0"/>
              </w:rPr>
              <w:t xml:space="preserve">Dialogues on feminisms and gender</w:t>
            </w:r>
          </w:p>
        </w:tc>
      </w:tr>
    </w:tbl>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3. PALABRAS CLAVE</w:t>
      </w:r>
    </w:p>
    <w:p w:rsidR="00000000" w:rsidDel="00000000" w:rsidP="00000000" w:rsidRDefault="00000000" w:rsidRPr="00000000" w14:paraId="00000015">
      <w:pPr>
        <w:rPr>
          <w:rFonts w:ascii="Arial" w:cs="Arial" w:eastAsia="Arial" w:hAnsi="Arial"/>
          <w:b w:val="1"/>
        </w:rPr>
      </w:pPr>
      <w:r w:rsidDel="00000000" w:rsidR="00000000" w:rsidRPr="00000000">
        <w:rPr>
          <w:rtl w:val="0"/>
        </w:rPr>
      </w:r>
    </w:p>
    <w:tbl>
      <w:tblPr>
        <w:tblStyle w:val="Table3"/>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c>
          <w:tcPr>
            <w:vAlign w:val="center"/>
          </w:tcPr>
          <w:p w:rsidR="00000000" w:rsidDel="00000000" w:rsidP="00000000" w:rsidRDefault="00000000" w:rsidRPr="00000000" w14:paraId="00000016">
            <w:pPr>
              <w:rPr/>
            </w:pPr>
            <w:r w:rsidDel="00000000" w:rsidR="00000000" w:rsidRPr="00000000">
              <w:rPr>
                <w:rtl w:val="0"/>
              </w:rPr>
              <w:t xml:space="preserve">feminismos; discriminación; acoso; abuso; igualdad de género; brechas de género; democracia</w:t>
            </w:r>
          </w:p>
        </w:tc>
      </w:tr>
    </w:tbl>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4. EQUIPO DOCENTE</w:t>
      </w:r>
    </w:p>
    <w:p w:rsidR="00000000" w:rsidDel="00000000" w:rsidP="00000000" w:rsidRDefault="00000000" w:rsidRPr="00000000" w14:paraId="00000019">
      <w:pPr>
        <w:rPr>
          <w:rFonts w:ascii="Arial" w:cs="Arial" w:eastAsia="Arial" w:hAnsi="Arial"/>
        </w:rPr>
      </w:pPr>
      <w:r w:rsidDel="00000000" w:rsidR="00000000" w:rsidRPr="00000000">
        <w:rPr>
          <w:rtl w:val="0"/>
        </w:rPr>
      </w:r>
    </w:p>
    <w:tbl>
      <w:tblPr>
        <w:tblStyle w:val="Table4"/>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379"/>
        <w:tblGridChange w:id="0">
          <w:tblGrid>
            <w:gridCol w:w="2547"/>
            <w:gridCol w:w="6379"/>
          </w:tblGrid>
        </w:tblGridChange>
      </w:tblGrid>
      <w:tr>
        <w:trPr>
          <w:trHeight w:val="480" w:hRule="atLeast"/>
        </w:trPr>
        <w:tc>
          <w:tcPr>
            <w:shd w:fill="f2f2f2" w:val="clear"/>
            <w:vAlign w:val="center"/>
          </w:tcPr>
          <w:p w:rsidR="00000000" w:rsidDel="00000000" w:rsidP="00000000" w:rsidRDefault="00000000" w:rsidRPr="00000000" w14:paraId="0000001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Docente responsable</w:t>
            </w:r>
          </w:p>
        </w:tc>
        <w:tc>
          <w:tcPr>
            <w:shd w:fill="auto" w:val="clear"/>
            <w:vAlign w:val="center"/>
          </w:tcPr>
          <w:p w:rsidR="00000000" w:rsidDel="00000000" w:rsidP="00000000" w:rsidRDefault="00000000" w:rsidRPr="00000000" w14:paraId="0000001B">
            <w:pPr>
              <w:rPr>
                <w:b w:val="1"/>
                <w:sz w:val="22"/>
                <w:szCs w:val="22"/>
              </w:rPr>
            </w:pPr>
            <w:r w:rsidDel="00000000" w:rsidR="00000000" w:rsidRPr="00000000">
              <w:rPr>
                <w:rtl w:val="0"/>
              </w:rPr>
              <w:t xml:space="preserve">Roxana Pey, Facultad de Ciencias Sociales y Cátedra Amanda Labarca.</w:t>
            </w:r>
            <w:r w:rsidDel="00000000" w:rsidR="00000000" w:rsidRPr="00000000">
              <w:rPr>
                <w:rtl w:val="0"/>
              </w:rPr>
            </w:r>
          </w:p>
        </w:tc>
      </w:tr>
      <w:tr>
        <w:trPr>
          <w:trHeight w:val="380" w:hRule="atLeast"/>
        </w:trPr>
        <w:tc>
          <w:tcPr>
            <w:shd w:fill="f2f2f2" w:val="clear"/>
            <w:vAlign w:val="center"/>
          </w:tcPr>
          <w:p w:rsidR="00000000" w:rsidDel="00000000" w:rsidP="00000000" w:rsidRDefault="00000000" w:rsidRPr="00000000" w14:paraId="0000001C">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académica (facultad o instituto)</w:t>
            </w:r>
            <w:r w:rsidDel="00000000" w:rsidR="00000000" w:rsidRPr="00000000">
              <w:rPr>
                <w:rtl w:val="0"/>
              </w:rPr>
            </w:r>
          </w:p>
        </w:tc>
        <w:tc>
          <w:tcPr>
            <w:vAlign w:val="center"/>
          </w:tcPr>
          <w:p w:rsidR="00000000" w:rsidDel="00000000" w:rsidP="00000000" w:rsidRDefault="00000000" w:rsidRPr="00000000" w14:paraId="0000001D">
            <w:pPr>
              <w:rPr/>
            </w:pPr>
            <w:r w:rsidDel="00000000" w:rsidR="00000000" w:rsidRPr="00000000">
              <w:rPr>
                <w:rtl w:val="0"/>
              </w:rPr>
              <w:t xml:space="preserve">Vicerrectoría de Extensión y Comunicaciones</w:t>
            </w:r>
          </w:p>
        </w:tc>
      </w:tr>
    </w:tbl>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tbl>
      <w:tblPr>
        <w:tblStyle w:val="Table5"/>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379"/>
        <w:tblGridChange w:id="0">
          <w:tblGrid>
            <w:gridCol w:w="2547"/>
            <w:gridCol w:w="6379"/>
          </w:tblGrid>
        </w:tblGridChange>
      </w:tblGrid>
      <w:tr>
        <w:trPr>
          <w:trHeight w:val="420" w:hRule="atLeast"/>
        </w:trPr>
        <w:tc>
          <w:tcPr>
            <w:shd w:fill="f2f2f2" w:val="clear"/>
            <w:vAlign w:val="center"/>
          </w:tcPr>
          <w:p w:rsidR="00000000" w:rsidDel="00000000" w:rsidP="00000000" w:rsidRDefault="00000000" w:rsidRPr="00000000" w14:paraId="0000002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Ayudante</w:t>
            </w:r>
          </w:p>
        </w:tc>
        <w:tc>
          <w:tcPr>
            <w:shd w:fill="auto" w:val="clear"/>
            <w:vAlign w:val="center"/>
          </w:tcPr>
          <w:p w:rsidR="00000000" w:rsidDel="00000000" w:rsidP="00000000" w:rsidRDefault="00000000" w:rsidRPr="00000000" w14:paraId="00000021">
            <w:pPr>
              <w:rPr/>
            </w:pPr>
            <w:r w:rsidDel="00000000" w:rsidR="00000000" w:rsidRPr="00000000">
              <w:rPr>
                <w:rtl w:val="0"/>
              </w:rPr>
              <w:t xml:space="preserve">Paula Loncón</w:t>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t xml:space="preserve">Correo: paula.loncon.leyton@gmail.com</w:t>
            </w:r>
            <w:r w:rsidDel="00000000" w:rsidR="00000000" w:rsidRPr="00000000">
              <w:rPr>
                <w:rtl w:val="0"/>
              </w:rPr>
            </w:r>
          </w:p>
        </w:tc>
      </w:tr>
    </w:tbl>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rtl w:val="0"/>
        </w:rPr>
        <w:t xml:space="preserve">5. CARGA ACADÉMICA Y CRÉDITOS SCT-CHILE</w:t>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tbl>
      <w:tblPr>
        <w:tblStyle w:val="Table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5998"/>
        <w:tblGridChange w:id="0">
          <w:tblGrid>
            <w:gridCol w:w="2830"/>
            <w:gridCol w:w="5998"/>
          </w:tblGrid>
        </w:tblGridChange>
      </w:tblGrid>
      <w:tr>
        <w:tc>
          <w:tcPr>
            <w:shd w:fill="f2f2f2" w:val="clear"/>
            <w:vAlign w:val="center"/>
          </w:tcPr>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Duración del curso</w:t>
            </w:r>
          </w:p>
        </w:tc>
        <w:tc>
          <w:tcPr>
            <w:vAlign w:val="center"/>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Semestral</w:t>
            </w:r>
          </w:p>
        </w:tc>
      </w:tr>
      <w:tr>
        <w:tc>
          <w:tcPr>
            <w:shd w:fill="f2f2f2" w:val="clear"/>
            <w:vAlign w:val="center"/>
          </w:tcPr>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de semanas</w:t>
            </w:r>
          </w:p>
        </w:tc>
        <w:tc>
          <w:tcPr>
            <w:vAlign w:val="cente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16 semanas</w:t>
            </w:r>
          </w:p>
        </w:tc>
      </w:tr>
      <w:tr>
        <w:tc>
          <w:tcPr>
            <w:shd w:fill="f2f2f2" w:val="clear"/>
            <w:vAlign w:val="center"/>
          </w:tcPr>
          <w:p w:rsidR="00000000" w:rsidDel="00000000" w:rsidP="00000000" w:rsidRDefault="00000000" w:rsidRPr="00000000" w14:paraId="0000002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Sesiones presenciales</w:t>
            </w:r>
          </w:p>
        </w:tc>
        <w:tc>
          <w:tcPr>
            <w:vAlign w:val="center"/>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1 sesión presencial de 1,5 horas (90 minutos) a la semana</w:t>
            </w:r>
          </w:p>
        </w:tc>
      </w:tr>
      <w:tr>
        <w:tc>
          <w:tcPr>
            <w:shd w:fill="f2f2f2" w:val="clear"/>
            <w:vAlign w:val="center"/>
          </w:tcPr>
          <w:p w:rsidR="00000000" w:rsidDel="00000000" w:rsidP="00000000" w:rsidRDefault="00000000" w:rsidRPr="00000000" w14:paraId="0000002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Trabajo no presencial</w:t>
            </w:r>
          </w:p>
        </w:tc>
        <w:tc>
          <w:tcPr>
            <w:vAlign w:val="cente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1,5 horas (90) minutos a la semana, aproximadamente</w:t>
            </w:r>
          </w:p>
        </w:tc>
      </w:tr>
      <w:tr>
        <w:tc>
          <w:tcPr>
            <w:shd w:fill="f2f2f2" w:val="clear"/>
            <w:vAlign w:val="center"/>
          </w:tcPr>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de créditos SCT</w:t>
            </w:r>
          </w:p>
        </w:tc>
        <w:tc>
          <w:tcPr>
            <w:vAlign w:val="cente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2 SCT</w:t>
            </w:r>
          </w:p>
        </w:tc>
      </w:tr>
    </w:tbl>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6. COMPETENCIAS SELLO A LAS QUE CONTRIBUYE EL CURSO</w:t>
      </w:r>
    </w:p>
    <w:p w:rsidR="00000000" w:rsidDel="00000000" w:rsidP="00000000" w:rsidRDefault="00000000" w:rsidRPr="00000000" w14:paraId="00000032">
      <w:pPr>
        <w:rPr>
          <w:rFonts w:ascii="Arial" w:cs="Arial" w:eastAsia="Arial" w:hAnsi="Arial"/>
        </w:rPr>
      </w:pPr>
      <w:r w:rsidDel="00000000" w:rsidR="00000000" w:rsidRPr="00000000">
        <w:rPr>
          <w:rtl w:val="0"/>
        </w:rPr>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266"/>
        <w:tblGridChange w:id="0">
          <w:tblGrid>
            <w:gridCol w:w="562"/>
            <w:gridCol w:w="8266"/>
          </w:tblGrid>
        </w:tblGridChange>
      </w:tblGrid>
      <w:tr>
        <w:tc>
          <w:tcPr>
            <w:shd w:fill="f2f2f2" w:val="clear"/>
            <w:vAlign w:val="center"/>
          </w:tcPr>
          <w:p w:rsidR="00000000" w:rsidDel="00000000" w:rsidP="00000000" w:rsidRDefault="00000000" w:rsidRPr="00000000" w14:paraId="00000033">
            <w:pPr>
              <w:rPr>
                <w:rFonts w:ascii="Arial" w:cs="Arial" w:eastAsia="Arial" w:hAnsi="Arial"/>
              </w:rPr>
            </w:pPr>
            <w:r w:rsidDel="00000000" w:rsidR="00000000" w:rsidRPr="00000000">
              <w:rPr>
                <w:rtl w:val="0"/>
              </w:rPr>
            </w:r>
          </w:p>
        </w:tc>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1. Capacidad de </w:t>
            </w:r>
            <w:r w:rsidDel="00000000" w:rsidR="00000000" w:rsidRPr="00000000">
              <w:rPr>
                <w:rFonts w:ascii="Arial" w:cs="Arial" w:eastAsia="Arial" w:hAnsi="Arial"/>
                <w:rtl w:val="0"/>
              </w:rPr>
              <w:t xml:space="preserve">investigación</w:t>
            </w:r>
            <w:r w:rsidDel="00000000" w:rsidR="00000000" w:rsidRPr="00000000">
              <w:rPr>
                <w:rtl w:val="0"/>
              </w:rPr>
            </w:r>
          </w:p>
        </w:tc>
      </w:tr>
      <w:tr>
        <w:tc>
          <w:tcPr>
            <w:shd w:fill="f2f2f2" w:val="clear"/>
            <w:vAlign w:val="center"/>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X</w:t>
            </w:r>
          </w:p>
        </w:tc>
        <w:tc>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2. Capacidad crítica y autocrítica</w:t>
            </w:r>
          </w:p>
        </w:tc>
      </w:tr>
      <w:tr>
        <w:tc>
          <w:tcPr>
            <w:shd w:fill="f2f2f2" w:val="clear"/>
            <w:vAlign w:val="center"/>
          </w:tcPr>
          <w:p w:rsidR="00000000" w:rsidDel="00000000" w:rsidP="00000000" w:rsidRDefault="00000000" w:rsidRPr="00000000" w14:paraId="00000037">
            <w:pPr>
              <w:rPr>
                <w:rFonts w:ascii="Arial" w:cs="Arial" w:eastAsia="Arial" w:hAnsi="Arial"/>
              </w:rPr>
            </w:pP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3. Capacidad de comunicación oral y escrita</w:t>
            </w:r>
          </w:p>
        </w:tc>
      </w:tr>
      <w:tr>
        <w:tc>
          <w:tcPr>
            <w:shd w:fill="f2f2f2" w:val="clear"/>
            <w:vAlign w:val="center"/>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4. Capacidad de comunicación oral y escrita en una segunda lengua</w:t>
            </w:r>
          </w:p>
        </w:tc>
      </w:tr>
      <w:tr>
        <w:tc>
          <w:tcPr>
            <w:shd w:fill="f2f2f2" w:val="clear"/>
            <w:vAlign w:val="center"/>
          </w:tcPr>
          <w:p w:rsidR="00000000" w:rsidDel="00000000" w:rsidP="00000000" w:rsidRDefault="00000000" w:rsidRPr="00000000" w14:paraId="0000003B">
            <w:pPr>
              <w:rPr>
                <w:rFonts w:ascii="Arial" w:cs="Arial" w:eastAsia="Arial" w:hAnsi="Arial"/>
              </w:rPr>
            </w:pPr>
            <w:r w:rsidDel="00000000" w:rsidR="00000000" w:rsidRPr="00000000">
              <w:rPr>
                <w:rtl w:val="0"/>
              </w:rPr>
            </w:r>
          </w:p>
        </w:tc>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5. Responsabilidad social y compromiso ciudadano</w:t>
            </w:r>
          </w:p>
        </w:tc>
      </w:tr>
      <w:tr>
        <w:tc>
          <w:tcPr>
            <w:shd w:fill="f2f2f2" w:val="clear"/>
            <w:vAlign w:val="center"/>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6. Compromiso ético</w:t>
            </w:r>
          </w:p>
        </w:tc>
      </w:tr>
      <w:tr>
        <w:tc>
          <w:tcPr>
            <w:shd w:fill="f2f2f2" w:val="clear"/>
            <w:vAlign w:val="center"/>
          </w:tcPr>
          <w:p w:rsidR="00000000" w:rsidDel="00000000" w:rsidP="00000000" w:rsidRDefault="00000000" w:rsidRPr="00000000" w14:paraId="0000003F">
            <w:pPr>
              <w:rPr>
                <w:rFonts w:ascii="Arial" w:cs="Arial" w:eastAsia="Arial" w:hAnsi="Arial"/>
              </w:rPr>
            </w:pPr>
            <w:r w:rsidDel="00000000" w:rsidR="00000000" w:rsidRPr="00000000">
              <w:rPr>
                <w:rtl w:val="0"/>
              </w:rPr>
            </w:r>
          </w:p>
        </w:tc>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7. Compromiso con la preservación del medioambiente</w:t>
            </w:r>
          </w:p>
        </w:tc>
      </w:tr>
      <w:tr>
        <w:tc>
          <w:tcPr>
            <w:shd w:fill="f2f2f2" w:val="clear"/>
            <w:vAlign w:val="center"/>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X</w:t>
            </w:r>
          </w:p>
        </w:tc>
        <w:tc>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8. Valoración y respeto por la diversidad y multiculturalidad</w:t>
            </w:r>
          </w:p>
        </w:tc>
      </w:tr>
    </w:tbl>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7. PROPÓSITO FORMATIVO DEL CURSO</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Durante los últimos años, han surgido en diversas partes del mundo enormes movimientos sociales como protesta por la violencia, acoso y discriminación contra las mujeres, un problema que prevalece a pesar de más de cien años de luchas feministas. Los feminismos se plantean como un asunto tanto histórico como teórico, transdisciplinal, cultural y esencialmente político que cuestionan los sistemas sociales abusivos y tensionan todas las formas de discriminación. Desde el ámbito personal e individual al profesional y colectivo se requiere una postura crítica que refuerce el respeto a las diversidades y la ponga en ejercicio. A partir de esta nueva ola feminista, surge la necesidad de terminar con toda otra forma de abuso social y se crean las condiciones para el estallido social de octubre de 2019 que reinstala en Chile demandas por recuperar la dignidad.</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tc>
      </w:tr>
    </w:tbl>
    <w:p w:rsidR="00000000" w:rsidDel="00000000" w:rsidP="00000000" w:rsidRDefault="00000000" w:rsidRPr="00000000" w14:paraId="0000004B">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-2637154</wp:posOffset>
            </wp:positionH>
            <wp:positionV relativeFrom="paragraph">
              <wp:posOffset>-640079</wp:posOffset>
            </wp:positionV>
            <wp:extent cx="0" cy="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anchor>
        </w:drawing>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8. RESULTADOS DE APRENDIZAJE DEL CURSO</w:t>
      </w:r>
    </w:p>
    <w:p w:rsidR="00000000" w:rsidDel="00000000" w:rsidP="00000000" w:rsidRDefault="00000000" w:rsidRPr="00000000" w14:paraId="0000004D">
      <w:pPr>
        <w:jc w:val="both"/>
        <w:rPr>
          <w:rFonts w:ascii="Arial" w:cs="Arial" w:eastAsia="Arial" w:hAnsi="Arial"/>
          <w:color w:val="2f5496"/>
        </w:rPr>
      </w:pP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La/el estudiante conoce el sentido de las luchas sociales de los movimientos feministas desde una perspectiva tanto histórica como teórica, vinculándolo a los problemas actuales.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t xml:space="preserve">La/el estudiante identifica los múltiples componentes sociales y ámbitos en que se expresa la discriminación contra las mujeres y es capaz de vincular el ejercicio de su futura profesión con soluciones para acortar las brechas prevalentes.</w:t>
            </w: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tc>
      </w:tr>
    </w:tbl>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9. SABERES FUNDAMENTALES / CONTENIDOS</w:t>
      </w:r>
    </w:p>
    <w:p w:rsidR="00000000" w:rsidDel="00000000" w:rsidP="00000000" w:rsidRDefault="00000000" w:rsidRPr="00000000" w14:paraId="00000056">
      <w:pPr>
        <w:jc w:val="both"/>
        <w:rPr>
          <w:rFonts w:ascii="Arial" w:cs="Arial" w:eastAsia="Arial" w:hAnsi="Arial"/>
          <w:color w:val="2f5496"/>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numPr>
                <w:ilvl w:val="0"/>
                <w:numId w:val="2"/>
              </w:numPr>
              <w:ind w:left="720" w:hanging="360"/>
              <w:jc w:val="both"/>
              <w:rPr/>
            </w:pPr>
            <w:r w:rsidDel="00000000" w:rsidR="00000000" w:rsidRPr="00000000">
              <w:rPr>
                <w:rtl w:val="0"/>
              </w:rPr>
              <w:t xml:space="preserve">Perspectivas históricas y actuales de los feminismos. Una lectura histórica del movimiento feminista en Chile. Movimiento feminista chileno: experiencias y luchas</w:t>
            </w:r>
            <w:r w:rsidDel="00000000" w:rsidR="00000000" w:rsidRPr="00000000">
              <w:rPr>
                <w:color w:val="222222"/>
                <w:highlight w:val="white"/>
                <w:rtl w:val="0"/>
              </w:rPr>
              <w:t xml:space="preserve">. Desafíos teóricos, culturales y políticos del feminismo.</w:t>
            </w: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numPr>
                <w:ilvl w:val="0"/>
                <w:numId w:val="2"/>
              </w:numPr>
              <w:ind w:left="720" w:hanging="360"/>
              <w:jc w:val="both"/>
              <w:rPr/>
            </w:pPr>
            <w:r w:rsidDel="00000000" w:rsidR="00000000" w:rsidRPr="00000000">
              <w:rPr>
                <w:rtl w:val="0"/>
              </w:rPr>
              <w:t xml:space="preserve">Manifestaciones de la discriminación de género.</w:t>
            </w:r>
            <w:r w:rsidDel="00000000" w:rsidR="00000000" w:rsidRPr="00000000">
              <w:rPr>
                <w:color w:val="222222"/>
                <w:rtl w:val="0"/>
              </w:rPr>
              <w:t xml:space="preserve"> Medios y prensa feminista: escrituras rebeldes para tiempos de cambio. Libertad de expresión en el contexto de la lucha feminista. Militancia, partidos políticos y feminismo</w:t>
            </w:r>
            <w:r w:rsidDel="00000000" w:rsidR="00000000" w:rsidRPr="00000000">
              <w:rPr>
                <w:rtl w:val="0"/>
              </w:rPr>
              <w:t xml:space="preserve">. Violencia contra las mujeres: un problema estructural</w:t>
            </w:r>
          </w:p>
          <w:p w:rsidR="00000000" w:rsidDel="00000000" w:rsidP="00000000" w:rsidRDefault="00000000" w:rsidRPr="00000000" w14:paraId="0000005C">
            <w:pPr>
              <w:ind w:left="720"/>
              <w:jc w:val="both"/>
              <w:rPr/>
            </w:pPr>
            <w:r w:rsidDel="00000000" w:rsidR="00000000" w:rsidRPr="00000000">
              <w:rPr>
                <w:rtl w:val="0"/>
              </w:rPr>
            </w:r>
          </w:p>
          <w:p w:rsidR="00000000" w:rsidDel="00000000" w:rsidP="00000000" w:rsidRDefault="00000000" w:rsidRPr="00000000" w14:paraId="0000005D">
            <w:pPr>
              <w:numPr>
                <w:ilvl w:val="0"/>
                <w:numId w:val="2"/>
              </w:numPr>
              <w:ind w:left="720" w:hanging="360"/>
              <w:jc w:val="both"/>
              <w:rPr/>
            </w:pPr>
            <w:r w:rsidDel="00000000" w:rsidR="00000000" w:rsidRPr="00000000">
              <w:rPr>
                <w:rtl w:val="0"/>
              </w:rPr>
              <w:t xml:space="preserve">Educación, conocimiento e instituciones. Educación no sexista. Construcción de conocimiento y mujeres. Producción de conocimiento y transdisciplinas. Respuesta institucional al acoso y abuso sexual al interior de la Universidad de Chile</w:t>
            </w: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tc>
      </w:tr>
    </w:tbl>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Fonts w:ascii="Arial" w:cs="Arial" w:eastAsia="Arial" w:hAnsi="Arial"/>
          <w:b w:val="1"/>
          <w:rtl w:val="0"/>
        </w:rPr>
        <w:t xml:space="preserve">10. METODOLOGÍA</w:t>
      </w:r>
    </w:p>
    <w:p w:rsidR="00000000" w:rsidDel="00000000" w:rsidP="00000000" w:rsidRDefault="00000000" w:rsidRPr="00000000" w14:paraId="00000061">
      <w:pPr>
        <w:jc w:val="both"/>
        <w:rPr>
          <w:rFonts w:ascii="Arial" w:cs="Arial" w:eastAsia="Arial" w:hAnsi="Arial"/>
        </w:rPr>
      </w:pPr>
      <w:r w:rsidDel="00000000" w:rsidR="00000000" w:rsidRPr="00000000">
        <w:rPr>
          <w:rtl w:val="0"/>
        </w:rPr>
      </w:r>
    </w:p>
    <w:p w:rsidR="00000000" w:rsidDel="00000000" w:rsidP="00000000" w:rsidRDefault="00000000" w:rsidRPr="00000000" w14:paraId="00000062">
      <w:pPr>
        <w:jc w:val="both"/>
        <w:rPr>
          <w:rFonts w:ascii="Arial" w:cs="Arial" w:eastAsia="Arial" w:hAnsi="Arial"/>
          <w:color w:val="000000"/>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El curso está estructurado en tres unidades temáticas cada una de las cuales será abordada desde perspectivas teóricas, análisis de casos, discusiones guiadas, visionado de audiovisuales. En cada unidad también se contará con invitadas destacadas.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Se consideran también las evaluaciones como una instancia de aprendizaje que consisten en la elaboración y presentación de un proyecto de investigación bibliográfica a lo largo del semestre.</w:t>
            </w:r>
          </w:p>
          <w:p w:rsidR="00000000" w:rsidDel="00000000" w:rsidP="00000000" w:rsidRDefault="00000000" w:rsidRPr="00000000" w14:paraId="00000067">
            <w:pPr>
              <w:rPr>
                <w:rFonts w:ascii="Arial" w:cs="Arial" w:eastAsia="Arial" w:hAnsi="Arial"/>
              </w:rPr>
            </w:pPr>
            <w:r w:rsidDel="00000000" w:rsidR="00000000" w:rsidRPr="00000000">
              <w:rPr>
                <w:rtl w:val="0"/>
              </w:rPr>
            </w:r>
          </w:p>
        </w:tc>
      </w:tr>
    </w:tbl>
    <w:p w:rsidR="00000000" w:rsidDel="00000000" w:rsidP="00000000" w:rsidRDefault="00000000" w:rsidRPr="00000000" w14:paraId="00000068">
      <w:pPr>
        <w:ind w:lef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11. EVALUACIÓN</w:t>
      </w:r>
    </w:p>
    <w:p w:rsidR="00000000" w:rsidDel="00000000" w:rsidP="00000000" w:rsidRDefault="00000000" w:rsidRPr="00000000" w14:paraId="0000006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jc w:val="both"/>
        <w:rPr>
          <w:rFonts w:ascii="Arial" w:cs="Arial" w:eastAsia="Arial" w:hAnsi="Arial"/>
          <w:color w:val="000000"/>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La evaluación del curso (4 notas) consiste en el visionado crítico de audiovisual y en la elaboración a lo largo del semestre de un proyecto de investigación bibliográfica grupal y sus resultados.</w:t>
            </w:r>
          </w:p>
          <w:p w:rsidR="00000000" w:rsidDel="00000000" w:rsidP="00000000" w:rsidRDefault="00000000" w:rsidRPr="00000000" w14:paraId="0000006D">
            <w:pPr>
              <w:jc w:val="both"/>
              <w:rPr>
                <w:rFonts w:ascii="Arial" w:cs="Arial" w:eastAsia="Arial" w:hAnsi="Arial"/>
              </w:rPr>
            </w:pP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b w:val="1"/>
                <w:rtl w:val="0"/>
              </w:rPr>
              <w:t xml:space="preserve">Visionado de documental.</w:t>
            </w:r>
            <w:r w:rsidDel="00000000" w:rsidR="00000000" w:rsidRPr="00000000">
              <w:rPr>
                <w:rFonts w:ascii="Arial" w:cs="Arial" w:eastAsia="Arial" w:hAnsi="Arial"/>
                <w:rtl w:val="0"/>
              </w:rPr>
              <w:t xml:space="preserve"> </w:t>
            </w:r>
          </w:p>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Nota vale 20%.</w:t>
            </w:r>
          </w:p>
          <w:p w:rsidR="00000000" w:rsidDel="00000000" w:rsidP="00000000" w:rsidRDefault="00000000" w:rsidRPr="00000000" w14:paraId="00000070">
            <w:pPr>
              <w:jc w:val="both"/>
              <w:rPr>
                <w:rFonts w:ascii="Arial" w:cs="Arial" w:eastAsia="Arial" w:hAnsi="Arial"/>
              </w:rPr>
            </w:pPr>
            <w:r w:rsidDel="00000000" w:rsidR="00000000" w:rsidRPr="00000000">
              <w:rPr>
                <w:rFonts w:ascii="Arial" w:cs="Arial" w:eastAsia="Arial" w:hAnsi="Arial"/>
                <w:rtl w:val="0"/>
              </w:rPr>
              <w:t xml:space="preserve">Los estudiantes deberán responder cuatro preguntas por escrito. La pauta de evaluación consiste en claridad escrita, pertinencia y originalidad de las respuestas, relación con el documental y los contenidos del curso.</w:t>
            </w:r>
          </w:p>
          <w:p w:rsidR="00000000" w:rsidDel="00000000" w:rsidP="00000000" w:rsidRDefault="00000000" w:rsidRPr="00000000" w14:paraId="00000071">
            <w:pPr>
              <w:jc w:val="both"/>
              <w:rPr>
                <w:rFonts w:ascii="Arial" w:cs="Arial" w:eastAsia="Arial" w:hAnsi="Arial"/>
              </w:rPr>
            </w:pPr>
            <w:r w:rsidDel="00000000" w:rsidR="00000000" w:rsidRPr="00000000">
              <w:rPr>
                <w:rtl w:val="0"/>
              </w:rPr>
            </w:r>
          </w:p>
          <w:p w:rsidR="00000000" w:rsidDel="00000000" w:rsidP="00000000" w:rsidRDefault="00000000" w:rsidRPr="00000000" w14:paraId="00000072">
            <w:pPr>
              <w:jc w:val="both"/>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b w:val="1"/>
                <w:rtl w:val="0"/>
              </w:rPr>
              <w:t xml:space="preserve">Entrega de proyecto</w:t>
            </w:r>
            <w:r w:rsidDel="00000000" w:rsidR="00000000" w:rsidRPr="00000000">
              <w:rPr>
                <w:rFonts w:ascii="Arial" w:cs="Arial" w:eastAsia="Arial" w:hAnsi="Arial"/>
                <w:rtl w:val="0"/>
              </w:rPr>
              <w:t xml:space="preserve">.</w:t>
            </w:r>
          </w:p>
          <w:p w:rsidR="00000000" w:rsidDel="00000000" w:rsidP="00000000" w:rsidRDefault="00000000" w:rsidRPr="00000000" w14:paraId="00000073">
            <w:pPr>
              <w:jc w:val="both"/>
              <w:rPr>
                <w:rFonts w:ascii="Arial" w:cs="Arial" w:eastAsia="Arial" w:hAnsi="Arial"/>
              </w:rPr>
            </w:pPr>
            <w:r w:rsidDel="00000000" w:rsidR="00000000" w:rsidRPr="00000000">
              <w:rPr>
                <w:rFonts w:ascii="Arial" w:cs="Arial" w:eastAsia="Arial" w:hAnsi="Arial"/>
                <w:rtl w:val="0"/>
              </w:rPr>
              <w:t xml:space="preserve">Nota vale 20% </w:t>
            </w:r>
          </w:p>
          <w:p w:rsidR="00000000" w:rsidDel="00000000" w:rsidP="00000000" w:rsidRDefault="00000000" w:rsidRPr="00000000" w14:paraId="00000074">
            <w:pPr>
              <w:widowControl w:val="0"/>
              <w:tabs>
                <w:tab w:val="left" w:pos="426"/>
              </w:tabs>
              <w:jc w:val="both"/>
              <w:rPr>
                <w:rFonts w:ascii="Arial" w:cs="Arial" w:eastAsia="Arial" w:hAnsi="Arial"/>
              </w:rPr>
            </w:pPr>
            <w:r w:rsidDel="00000000" w:rsidR="00000000" w:rsidRPr="00000000">
              <w:rPr>
                <w:rFonts w:ascii="Arial" w:cs="Arial" w:eastAsia="Arial" w:hAnsi="Arial"/>
                <w:rtl w:val="0"/>
              </w:rPr>
              <w:t xml:space="preserve">El texto debe incluir breve descripción del tema, su relevancia y aporte al curso, planteamiento del problema ó hipótesis, metodología ó tratamiento del problema, máximo 6 páginas.</w:t>
            </w:r>
          </w:p>
          <w:p w:rsidR="00000000" w:rsidDel="00000000" w:rsidP="00000000" w:rsidRDefault="00000000" w:rsidRPr="00000000" w14:paraId="00000075">
            <w:pPr>
              <w:widowControl w:val="0"/>
              <w:tabs>
                <w:tab w:val="left" w:pos="426"/>
              </w:tabs>
              <w:jc w:val="both"/>
              <w:rPr>
                <w:rFonts w:ascii="Arial" w:cs="Arial" w:eastAsia="Arial" w:hAnsi="Arial"/>
              </w:rPr>
            </w:pPr>
            <w:r w:rsidDel="00000000" w:rsidR="00000000" w:rsidRPr="00000000">
              <w:rPr>
                <w:rtl w:val="0"/>
              </w:rPr>
            </w:r>
          </w:p>
          <w:p w:rsidR="00000000" w:rsidDel="00000000" w:rsidP="00000000" w:rsidRDefault="00000000" w:rsidRPr="00000000" w14:paraId="00000076">
            <w:pPr>
              <w:widowControl w:val="0"/>
              <w:tabs>
                <w:tab w:val="left" w:pos="426"/>
              </w:tabs>
              <w:jc w:val="both"/>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rtl w:val="0"/>
              </w:rPr>
              <w:t xml:space="preserve">Presentación oral de resultados del proyecto</w:t>
            </w:r>
            <w:r w:rsidDel="00000000" w:rsidR="00000000" w:rsidRPr="00000000">
              <w:rPr>
                <w:rFonts w:ascii="Arial" w:cs="Arial" w:eastAsia="Arial" w:hAnsi="Arial"/>
                <w:rtl w:val="0"/>
              </w:rPr>
              <w:t xml:space="preserve">.</w:t>
            </w:r>
          </w:p>
          <w:p w:rsidR="00000000" w:rsidDel="00000000" w:rsidP="00000000" w:rsidRDefault="00000000" w:rsidRPr="00000000" w14:paraId="00000077">
            <w:pPr>
              <w:widowControl w:val="0"/>
              <w:tabs>
                <w:tab w:val="left" w:pos="426"/>
              </w:tabs>
              <w:jc w:val="both"/>
              <w:rPr>
                <w:rFonts w:ascii="Arial" w:cs="Arial" w:eastAsia="Arial" w:hAnsi="Arial"/>
              </w:rPr>
            </w:pPr>
            <w:r w:rsidDel="00000000" w:rsidR="00000000" w:rsidRPr="00000000">
              <w:rPr>
                <w:rFonts w:ascii="Arial" w:cs="Arial" w:eastAsia="Arial" w:hAnsi="Arial"/>
                <w:rtl w:val="0"/>
              </w:rPr>
              <w:t xml:space="preserve">Nota vale 20% </w:t>
            </w:r>
          </w:p>
          <w:p w:rsidR="00000000" w:rsidDel="00000000" w:rsidP="00000000" w:rsidRDefault="00000000" w:rsidRPr="00000000" w14:paraId="00000078">
            <w:pPr>
              <w:widowControl w:val="0"/>
              <w:tabs>
                <w:tab w:val="left" w:pos="426"/>
              </w:tabs>
              <w:jc w:val="both"/>
              <w:rPr>
                <w:rFonts w:ascii="Arial" w:cs="Arial" w:eastAsia="Arial" w:hAnsi="Arial"/>
              </w:rPr>
            </w:pPr>
            <w:r w:rsidDel="00000000" w:rsidR="00000000" w:rsidRPr="00000000">
              <w:rPr>
                <w:rFonts w:ascii="Arial" w:cs="Arial" w:eastAsia="Arial" w:hAnsi="Arial"/>
                <w:rtl w:val="0"/>
              </w:rPr>
              <w:t xml:space="preserve">La presentación debe durar 15 minutos, con exposición de todos/as las integrantes del grupo. Se evaluará calidad de la comunicación y del material material presentado, uso del tiempo y capacidad de síntesis, claridad de planteamiento del problema, desarrollo de la investigación.</w:t>
            </w:r>
          </w:p>
          <w:p w:rsidR="00000000" w:rsidDel="00000000" w:rsidP="00000000" w:rsidRDefault="00000000" w:rsidRPr="00000000" w14:paraId="00000079">
            <w:pPr>
              <w:widowControl w:val="0"/>
              <w:tabs>
                <w:tab w:val="left" w:pos="426"/>
              </w:tabs>
              <w:jc w:val="both"/>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tabs>
                <w:tab w:val="left" w:pos="426"/>
              </w:tabs>
              <w:jc w:val="both"/>
              <w:rPr>
                <w:rFonts w:ascii="Arial" w:cs="Arial" w:eastAsia="Arial" w:hAnsi="Arial"/>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Informe final de resultados (ensayo)</w:t>
            </w:r>
            <w:r w:rsidDel="00000000" w:rsidR="00000000" w:rsidRPr="00000000">
              <w:rPr>
                <w:rFonts w:ascii="Arial" w:cs="Arial" w:eastAsia="Arial" w:hAnsi="Arial"/>
                <w:rtl w:val="0"/>
              </w:rPr>
              <w:t xml:space="preserve">.</w:t>
            </w:r>
          </w:p>
          <w:p w:rsidR="00000000" w:rsidDel="00000000" w:rsidP="00000000" w:rsidRDefault="00000000" w:rsidRPr="00000000" w14:paraId="0000007B">
            <w:pPr>
              <w:widowControl w:val="0"/>
              <w:tabs>
                <w:tab w:val="left" w:pos="426"/>
              </w:tabs>
              <w:jc w:val="both"/>
              <w:rPr>
                <w:rFonts w:ascii="Arial" w:cs="Arial" w:eastAsia="Arial" w:hAnsi="Arial"/>
              </w:rPr>
            </w:pPr>
            <w:r w:rsidDel="00000000" w:rsidR="00000000" w:rsidRPr="00000000">
              <w:rPr>
                <w:rFonts w:ascii="Arial" w:cs="Arial" w:eastAsia="Arial" w:hAnsi="Arial"/>
                <w:rtl w:val="0"/>
              </w:rPr>
              <w:t xml:space="preserve">Nota vale 40%  </w:t>
            </w:r>
          </w:p>
          <w:p w:rsidR="00000000" w:rsidDel="00000000" w:rsidP="00000000" w:rsidRDefault="00000000" w:rsidRPr="00000000" w14:paraId="0000007C">
            <w:pPr>
              <w:widowControl w:val="0"/>
              <w:tabs>
                <w:tab w:val="left" w:pos="426"/>
              </w:tabs>
              <w:jc w:val="both"/>
              <w:rPr>
                <w:rFonts w:ascii="Arial" w:cs="Arial" w:eastAsia="Arial" w:hAnsi="Arial"/>
              </w:rPr>
            </w:pPr>
            <w:r w:rsidDel="00000000" w:rsidR="00000000" w:rsidRPr="00000000">
              <w:rPr>
                <w:rFonts w:ascii="Arial" w:cs="Arial" w:eastAsia="Arial" w:hAnsi="Arial"/>
                <w:rtl w:val="0"/>
              </w:rPr>
              <w:t xml:space="preserve">El texto (ensayo) debe incluir introducción, metodología o tratamiento del problema, desarrollo del tema, </w:t>
            </w:r>
            <w:r w:rsidDel="00000000" w:rsidR="00000000" w:rsidRPr="00000000">
              <w:rPr>
                <w:rFonts w:ascii="Arial" w:cs="Arial" w:eastAsia="Arial" w:hAnsi="Arial"/>
                <w:highlight w:val="white"/>
                <w:rtl w:val="0"/>
              </w:rPr>
              <w:t xml:space="preserve">relación con los problemas del curso</w:t>
            </w:r>
            <w:r w:rsidDel="00000000" w:rsidR="00000000" w:rsidRPr="00000000">
              <w:rPr>
                <w:rFonts w:ascii="Arial" w:cs="Arial" w:eastAsia="Arial" w:hAnsi="Arial"/>
                <w:rtl w:val="0"/>
              </w:rPr>
              <w:t xml:space="preserve">, conclusiones, bibliografía consultada. Se evaluarán aspectos formales (redacción, estructura, etc.) y de contenido (pertinencia, relevancia, originalidad, etc.). 15-20 páginas máximo, letra 12.</w:t>
            </w:r>
          </w:p>
          <w:p w:rsidR="00000000" w:rsidDel="00000000" w:rsidP="00000000" w:rsidRDefault="00000000" w:rsidRPr="00000000" w14:paraId="0000007D">
            <w:pPr>
              <w:rPr>
                <w:rFonts w:ascii="Arial" w:cs="Arial" w:eastAsia="Arial" w:hAnsi="Arial"/>
              </w:rPr>
            </w:pPr>
            <w:r w:rsidDel="00000000" w:rsidR="00000000" w:rsidRPr="00000000">
              <w:rPr>
                <w:rtl w:val="0"/>
              </w:rPr>
            </w:r>
          </w:p>
        </w:tc>
      </w:tr>
    </w:tbl>
    <w:p w:rsidR="00000000" w:rsidDel="00000000" w:rsidP="00000000" w:rsidRDefault="00000000" w:rsidRPr="00000000" w14:paraId="0000007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rPr>
          <w:rFonts w:ascii="Arial" w:cs="Arial" w:eastAsia="Arial" w:hAnsi="Arial"/>
          <w:b w:val="1"/>
          <w:color w:val="000000"/>
        </w:rPr>
      </w:pPr>
      <w:r w:rsidDel="00000000" w:rsidR="00000000" w:rsidRPr="00000000">
        <w:rPr>
          <w:rFonts w:ascii="Arial" w:cs="Arial" w:eastAsia="Arial" w:hAnsi="Arial"/>
          <w:b w:val="1"/>
          <w:color w:val="000000"/>
          <w:rtl w:val="0"/>
        </w:rPr>
        <w:t xml:space="preserve">12. REQUISITOS DE APROBACIÓN</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tbl>
      <w:tblPr>
        <w:tblStyle w:val="Table1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Asistencia al 75% de las sesiones presenciales del curso, como mínimo.</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Calificación final igual o superior a 4,0, en una escala de 1 a 7.</w:t>
            </w: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c>
      </w:tr>
    </w:tbl>
    <w:p w:rsidR="00000000" w:rsidDel="00000000" w:rsidP="00000000" w:rsidRDefault="00000000" w:rsidRPr="00000000" w14:paraId="0000008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13. BIBLIGRAFÍA BÁSICA OBLIGATORIA </w:t>
      </w:r>
    </w:p>
    <w:p w:rsidR="00000000" w:rsidDel="00000000" w:rsidP="00000000" w:rsidRDefault="00000000" w:rsidRPr="00000000" w14:paraId="0000008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jc w:val="both"/>
        <w:rPr>
          <w:rFonts w:ascii="Arial" w:cs="Arial" w:eastAsia="Arial" w:hAnsi="Arial"/>
          <w:color w:val="000000"/>
        </w:rPr>
      </w:pPr>
      <w:r w:rsidDel="00000000" w:rsidR="00000000" w:rsidRPr="00000000">
        <w:rPr>
          <w:rtl w:val="0"/>
        </w:rPr>
      </w:r>
    </w:p>
    <w:tbl>
      <w:tblPr>
        <w:tblStyle w:val="Table1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spacing w:line="276" w:lineRule="auto"/>
              <w:jc w:val="both"/>
              <w:rPr/>
            </w:pPr>
            <w:r w:rsidDel="00000000" w:rsidR="00000000" w:rsidRPr="00000000">
              <w:rPr>
                <w:rtl w:val="0"/>
              </w:rPr>
              <w:t xml:space="preserve">Butler, Judith.  “El género en disputa”. Editorial Paidós, 2007.</w:t>
            </w:r>
          </w:p>
          <w:p w:rsidR="00000000" w:rsidDel="00000000" w:rsidP="00000000" w:rsidRDefault="00000000" w:rsidRPr="00000000" w14:paraId="0000008D">
            <w:pPr>
              <w:spacing w:line="276" w:lineRule="auto"/>
              <w:jc w:val="both"/>
              <w:rPr/>
            </w:pPr>
            <w:r w:rsidDel="00000000" w:rsidR="00000000" w:rsidRPr="00000000">
              <w:rPr>
                <w:rtl w:val="0"/>
              </w:rPr>
            </w:r>
          </w:p>
          <w:p w:rsidR="00000000" w:rsidDel="00000000" w:rsidP="00000000" w:rsidRDefault="00000000" w:rsidRPr="00000000" w14:paraId="0000008E">
            <w:pPr>
              <w:spacing w:line="276" w:lineRule="auto"/>
              <w:jc w:val="both"/>
              <w:rPr/>
            </w:pPr>
            <w:r w:rsidDel="00000000" w:rsidR="00000000" w:rsidRPr="00000000">
              <w:rPr>
                <w:rtl w:val="0"/>
              </w:rPr>
              <w:t xml:space="preserve">Figueroa, Lorena; Silva, Keiko; Vargas, Patricia.“Tierra, indio, mujer. Pensamiento social de Gabriela Mistral”. Editorial LOM, 2000.</w:t>
            </w:r>
          </w:p>
          <w:p w:rsidR="00000000" w:rsidDel="00000000" w:rsidP="00000000" w:rsidRDefault="00000000" w:rsidRPr="00000000" w14:paraId="0000008F">
            <w:pPr>
              <w:spacing w:line="276" w:lineRule="auto"/>
              <w:jc w:val="both"/>
              <w:rPr/>
            </w:pPr>
            <w:r w:rsidDel="00000000" w:rsidR="00000000" w:rsidRPr="00000000">
              <w:rPr>
                <w:rtl w:val="0"/>
              </w:rPr>
            </w:r>
          </w:p>
          <w:p w:rsidR="00000000" w:rsidDel="00000000" w:rsidP="00000000" w:rsidRDefault="00000000" w:rsidRPr="00000000" w14:paraId="00000090">
            <w:pPr>
              <w:spacing w:line="276" w:lineRule="auto"/>
              <w:jc w:val="both"/>
              <w:rPr/>
            </w:pPr>
            <w:r w:rsidDel="00000000" w:rsidR="00000000" w:rsidRPr="00000000">
              <w:rPr>
                <w:rtl w:val="0"/>
              </w:rPr>
              <w:t xml:space="preserve">Gaviola Artigas, Edda;  Jiles Moreno, Ximena; Lopresti Martínez, Lorella y Rojas, Claudia  Mira. “Queremos votar en las próximas elecciones: historia del movimiento femenino chileno”. La Morada, 1986. </w:t>
            </w:r>
          </w:p>
          <w:p w:rsidR="00000000" w:rsidDel="00000000" w:rsidP="00000000" w:rsidRDefault="00000000" w:rsidRPr="00000000" w14:paraId="00000091">
            <w:pPr>
              <w:spacing w:line="276" w:lineRule="auto"/>
              <w:jc w:val="both"/>
              <w:rPr/>
            </w:pPr>
            <w:r w:rsidDel="00000000" w:rsidR="00000000" w:rsidRPr="00000000">
              <w:rPr>
                <w:rtl w:val="0"/>
              </w:rPr>
            </w:r>
          </w:p>
          <w:p w:rsidR="00000000" w:rsidDel="00000000" w:rsidP="00000000" w:rsidRDefault="00000000" w:rsidRPr="00000000" w14:paraId="00000092">
            <w:pPr>
              <w:spacing w:line="276" w:lineRule="auto"/>
              <w:jc w:val="both"/>
              <w:rPr/>
            </w:pPr>
            <w:r w:rsidDel="00000000" w:rsidR="00000000" w:rsidRPr="00000000">
              <w:rPr>
                <w:rtl w:val="0"/>
              </w:rPr>
              <w:t xml:space="preserve">Kirkwood, Julieta. “Feminismo y participación política en Chile”. FLACSO, 1982. “El feminismo como negación del autoritarismo”. FLACSO, 1983. </w:t>
            </w:r>
          </w:p>
          <w:p w:rsidR="00000000" w:rsidDel="00000000" w:rsidP="00000000" w:rsidRDefault="00000000" w:rsidRPr="00000000" w14:paraId="00000093">
            <w:pPr>
              <w:spacing w:line="276" w:lineRule="auto"/>
              <w:jc w:val="both"/>
              <w:rPr/>
            </w:pPr>
            <w:r w:rsidDel="00000000" w:rsidR="00000000" w:rsidRPr="00000000">
              <w:rPr>
                <w:rtl w:val="0"/>
              </w:rPr>
            </w:r>
          </w:p>
          <w:p w:rsidR="00000000" w:rsidDel="00000000" w:rsidP="00000000" w:rsidRDefault="00000000" w:rsidRPr="00000000" w14:paraId="00000094">
            <w:pPr>
              <w:spacing w:line="276" w:lineRule="auto"/>
              <w:jc w:val="both"/>
              <w:rPr/>
            </w:pPr>
            <w:r w:rsidDel="00000000" w:rsidR="00000000" w:rsidRPr="00000000">
              <w:rPr>
                <w:rtl w:val="0"/>
              </w:rPr>
              <w:t xml:space="preserve">Richard, Nelly. “Feminismo, género y diferencias”. Palinodia, Santiago, 2008.</w:t>
            </w:r>
          </w:p>
          <w:p w:rsidR="00000000" w:rsidDel="00000000" w:rsidP="00000000" w:rsidRDefault="00000000" w:rsidRPr="00000000" w14:paraId="00000095">
            <w:pPr>
              <w:spacing w:line="276" w:lineRule="auto"/>
              <w:jc w:val="both"/>
              <w:rPr/>
            </w:pPr>
            <w:r w:rsidDel="00000000" w:rsidR="00000000" w:rsidRPr="00000000">
              <w:rPr>
                <w:rtl w:val="0"/>
              </w:rPr>
            </w:r>
          </w:p>
          <w:p w:rsidR="00000000" w:rsidDel="00000000" w:rsidP="00000000" w:rsidRDefault="00000000" w:rsidRPr="00000000" w14:paraId="00000096">
            <w:pPr>
              <w:spacing w:line="276" w:lineRule="auto"/>
              <w:jc w:val="both"/>
              <w:rPr/>
            </w:pPr>
            <w:r w:rsidDel="00000000" w:rsidR="00000000" w:rsidRPr="00000000">
              <w:rPr>
                <w:rtl w:val="0"/>
              </w:rPr>
              <w:t xml:space="preserve">Flores, V. (2013). “Topografías de disidencias: masculinidades lésbicas y deconstrucciones heteronormativas”, En Interruqciones. Ensayos de poética activista. Neuquén. pp 185-205. Disponible en: </w:t>
            </w:r>
            <w:hyperlink r:id="rId7">
              <w:r w:rsidDel="00000000" w:rsidR="00000000" w:rsidRPr="00000000">
                <w:rPr>
                  <w:color w:val="1155cc"/>
                  <w:u w:val="single"/>
                  <w:rtl w:val="0"/>
                </w:rPr>
                <w:t xml:space="preserve">http://www.bibliotecafragmentada.org/wp-content/uploads/2014/11/interrupciones-libro-valeria-flores.pdf</w:t>
              </w:r>
            </w:hyperlink>
            <w:r w:rsidDel="00000000" w:rsidR="00000000" w:rsidRPr="00000000">
              <w:rPr>
                <w:rtl w:val="0"/>
              </w:rPr>
            </w:r>
          </w:p>
          <w:p w:rsidR="00000000" w:rsidDel="00000000" w:rsidP="00000000" w:rsidRDefault="00000000" w:rsidRPr="00000000" w14:paraId="00000097">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8">
            <w:pPr>
              <w:spacing w:line="276" w:lineRule="auto"/>
              <w:jc w:val="both"/>
              <w:rPr/>
            </w:pPr>
            <w:r w:rsidDel="00000000" w:rsidR="00000000" w:rsidRPr="00000000">
              <w:rPr>
                <w:rtl w:val="0"/>
              </w:rPr>
              <w:t xml:space="preserve">Instituto Nacional de Derechos Humanos. (2015). Manual de derechos humanos para comunicadores y comunicadoras.</w:t>
            </w:r>
          </w:p>
          <w:p w:rsidR="00000000" w:rsidDel="00000000" w:rsidP="00000000" w:rsidRDefault="00000000" w:rsidRPr="00000000" w14:paraId="00000099">
            <w:pPr>
              <w:spacing w:line="276" w:lineRule="auto"/>
              <w:jc w:val="both"/>
              <w:rPr/>
            </w:pPr>
            <w:r w:rsidDel="00000000" w:rsidR="00000000" w:rsidRPr="00000000">
              <w:rPr>
                <w:rtl w:val="0"/>
              </w:rPr>
            </w:r>
          </w:p>
          <w:p w:rsidR="00000000" w:rsidDel="00000000" w:rsidP="00000000" w:rsidRDefault="00000000" w:rsidRPr="00000000" w14:paraId="0000009A">
            <w:pPr>
              <w:spacing w:after="240" w:line="276" w:lineRule="auto"/>
              <w:jc w:val="both"/>
              <w:rPr>
                <w:highlight w:val="white"/>
              </w:rPr>
            </w:pPr>
            <w:r w:rsidDel="00000000" w:rsidR="00000000" w:rsidRPr="00000000">
              <w:rPr>
                <w:highlight w:val="white"/>
                <w:rtl w:val="0"/>
              </w:rPr>
              <w:t xml:space="preserve">Lamas, M. (2000). "Diferencias de sexo, género y diferencia sexual". En: Cuicuilco, enero-abril, año/vol. 7, número 018. Escuela Nacional de Antropología e Historia, Distrito Federal, México. </w:t>
            </w:r>
          </w:p>
          <w:p w:rsidR="00000000" w:rsidDel="00000000" w:rsidP="00000000" w:rsidRDefault="00000000" w:rsidRPr="00000000" w14:paraId="0000009B">
            <w:pPr>
              <w:spacing w:after="240" w:line="276" w:lineRule="auto"/>
              <w:jc w:val="both"/>
              <w:rPr>
                <w:highlight w:val="white"/>
              </w:rPr>
            </w:pPr>
            <w:r w:rsidDel="00000000" w:rsidR="00000000" w:rsidRPr="00000000">
              <w:rPr>
                <w:highlight w:val="white"/>
                <w:rtl w:val="0"/>
              </w:rPr>
              <w:t xml:space="preserve">Montecino, S. (1996) “Devenir de una traslación: de la mujer al género o de lo universal a lo particular”. En: Conceptos de Género y Desarrollo. PIEG. Serie de Apuntes. Santiago. </w:t>
            </w:r>
          </w:p>
          <w:p w:rsidR="00000000" w:rsidDel="00000000" w:rsidP="00000000" w:rsidRDefault="00000000" w:rsidRPr="00000000" w14:paraId="0000009C">
            <w:pPr>
              <w:spacing w:after="240" w:line="276" w:lineRule="auto"/>
              <w:jc w:val="both"/>
              <w:rPr>
                <w:highlight w:val="white"/>
              </w:rPr>
            </w:pPr>
            <w:r w:rsidDel="00000000" w:rsidR="00000000" w:rsidRPr="00000000">
              <w:rPr>
                <w:highlight w:val="white"/>
                <w:rtl w:val="0"/>
              </w:rPr>
              <w:t xml:space="preserve">Zeran, F. (2018) “Mayo feminista. La rebelión contra el patriarcado”. Lom Ediciones.</w:t>
            </w:r>
          </w:p>
          <w:p w:rsidR="00000000" w:rsidDel="00000000" w:rsidP="00000000" w:rsidRDefault="00000000" w:rsidRPr="00000000" w14:paraId="0000009D">
            <w:pPr>
              <w:spacing w:after="240" w:line="276" w:lineRule="auto"/>
              <w:jc w:val="both"/>
              <w:rPr>
                <w:highlight w:val="white"/>
              </w:rPr>
            </w:pPr>
            <w:r w:rsidDel="00000000" w:rsidR="00000000" w:rsidRPr="00000000">
              <w:rPr>
                <w:highlight w:val="white"/>
                <w:rtl w:val="0"/>
              </w:rPr>
              <w:t xml:space="preserve">“Mujeres Insurrectas”. Revista Anales de la Universidad de Chile. </w:t>
            </w:r>
          </w:p>
          <w:p w:rsidR="00000000" w:rsidDel="00000000" w:rsidP="00000000" w:rsidRDefault="00000000" w:rsidRPr="00000000" w14:paraId="0000009E">
            <w:pPr>
              <w:rPr>
                <w:rFonts w:ascii="Arial" w:cs="Arial" w:eastAsia="Arial" w:hAnsi="Arial"/>
              </w:rPr>
            </w:pPr>
            <w:r w:rsidDel="00000000" w:rsidR="00000000" w:rsidRPr="00000000">
              <w:rPr>
                <w:rtl w:val="0"/>
              </w:rPr>
            </w:r>
          </w:p>
        </w:tc>
      </w:tr>
    </w:tbl>
    <w:p w:rsidR="00000000" w:rsidDel="00000000" w:rsidP="00000000" w:rsidRDefault="00000000" w:rsidRPr="00000000" w14:paraId="0000009F">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0">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1">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 BIBLIOGRAFÍA COMPLEMENTARIA</w:t>
      </w:r>
    </w:p>
    <w:p w:rsidR="00000000" w:rsidDel="00000000" w:rsidP="00000000" w:rsidRDefault="00000000" w:rsidRPr="00000000" w14:paraId="000000A2">
      <w:pPr>
        <w:jc w:val="both"/>
        <w:rPr>
          <w:rFonts w:ascii="Arial" w:cs="Arial" w:eastAsia="Arial" w:hAnsi="Arial"/>
          <w:color w:val="2f5496"/>
        </w:rPr>
      </w:pPr>
      <w:r w:rsidDel="00000000" w:rsidR="00000000" w:rsidRPr="00000000">
        <w:rPr>
          <w:rtl w:val="0"/>
        </w:rPr>
      </w:r>
    </w:p>
    <w:p w:rsidR="00000000" w:rsidDel="00000000" w:rsidP="00000000" w:rsidRDefault="00000000" w:rsidRPr="00000000" w14:paraId="000000A3">
      <w:pPr>
        <w:jc w:val="both"/>
        <w:rPr>
          <w:rFonts w:ascii="Arial" w:cs="Arial" w:eastAsia="Arial" w:hAnsi="Arial"/>
          <w:color w:val="000000"/>
        </w:rPr>
      </w:pPr>
      <w:r w:rsidDel="00000000" w:rsidR="00000000" w:rsidRPr="00000000">
        <w:rPr>
          <w:rtl w:val="0"/>
        </w:rPr>
      </w:r>
    </w:p>
    <w:tbl>
      <w:tblPr>
        <w:tblStyle w:val="Table1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A4">
            <w:pPr>
              <w:spacing w:line="276" w:lineRule="auto"/>
              <w:jc w:val="both"/>
              <w:rPr/>
            </w:pPr>
            <w:r w:rsidDel="00000000" w:rsidR="00000000" w:rsidRPr="00000000">
              <w:rPr>
                <w:rtl w:val="0"/>
              </w:rPr>
              <w:t xml:space="preserve">Centro de Estudios Nacionales de Desarrollo Alternativo, CENDA. “Índices mensuales de actividad económica interna, IMACEI CENDA”, 2019</w:t>
            </w:r>
          </w:p>
          <w:p w:rsidR="00000000" w:rsidDel="00000000" w:rsidP="00000000" w:rsidRDefault="00000000" w:rsidRPr="00000000" w14:paraId="000000A5">
            <w:pPr>
              <w:spacing w:line="276" w:lineRule="auto"/>
              <w:jc w:val="both"/>
              <w:rPr/>
            </w:pPr>
            <w:hyperlink r:id="rId8">
              <w:r w:rsidDel="00000000" w:rsidR="00000000" w:rsidRPr="00000000">
                <w:rPr>
                  <w:u w:val="single"/>
                  <w:rtl w:val="0"/>
                </w:rPr>
                <w:t xml:space="preserve">www.cendachile.cl</w:t>
              </w:r>
            </w:hyperlink>
            <w:r w:rsidDel="00000000" w:rsidR="00000000" w:rsidRPr="00000000">
              <w:rPr>
                <w:rtl w:val="0"/>
              </w:rPr>
            </w:r>
          </w:p>
          <w:p w:rsidR="00000000" w:rsidDel="00000000" w:rsidP="00000000" w:rsidRDefault="00000000" w:rsidRPr="00000000" w14:paraId="000000A6">
            <w:pPr>
              <w:spacing w:line="276" w:lineRule="auto"/>
              <w:jc w:val="both"/>
              <w:rPr/>
            </w:pPr>
            <w:r w:rsidDel="00000000" w:rsidR="00000000" w:rsidRPr="00000000">
              <w:rPr>
                <w:rtl w:val="0"/>
              </w:rPr>
            </w:r>
          </w:p>
          <w:p w:rsidR="00000000" w:rsidDel="00000000" w:rsidP="00000000" w:rsidRDefault="00000000" w:rsidRPr="00000000" w14:paraId="000000A7">
            <w:pPr>
              <w:spacing w:line="276" w:lineRule="auto"/>
              <w:jc w:val="both"/>
              <w:rPr/>
            </w:pPr>
            <w:r w:rsidDel="00000000" w:rsidR="00000000" w:rsidRPr="00000000">
              <w:rPr>
                <w:rtl w:val="0"/>
              </w:rPr>
              <w:t xml:space="preserve">Labarca, Amanda. “Feminismos contemporáneos”. Editorial Zig Zag, 1948.</w:t>
            </w:r>
          </w:p>
          <w:p w:rsidR="00000000" w:rsidDel="00000000" w:rsidP="00000000" w:rsidRDefault="00000000" w:rsidRPr="00000000" w14:paraId="000000A8">
            <w:pPr>
              <w:spacing w:line="276" w:lineRule="auto"/>
              <w:jc w:val="both"/>
              <w:rPr/>
            </w:pPr>
            <w:r w:rsidDel="00000000" w:rsidR="00000000" w:rsidRPr="00000000">
              <w:rPr>
                <w:rtl w:val="0"/>
              </w:rPr>
            </w:r>
          </w:p>
          <w:p w:rsidR="00000000" w:rsidDel="00000000" w:rsidP="00000000" w:rsidRDefault="00000000" w:rsidRPr="00000000" w14:paraId="000000A9">
            <w:pPr>
              <w:spacing w:line="276" w:lineRule="auto"/>
              <w:jc w:val="both"/>
              <w:rPr/>
            </w:pPr>
            <w:r w:rsidDel="00000000" w:rsidR="00000000" w:rsidRPr="00000000">
              <w:rPr>
                <w:rtl w:val="0"/>
              </w:rPr>
              <w:t xml:space="preserve">Meruane, Lina. “Contra los hijos”. Penguin Random House, Santiago, 2018.</w:t>
            </w:r>
          </w:p>
          <w:p w:rsidR="00000000" w:rsidDel="00000000" w:rsidP="00000000" w:rsidRDefault="00000000" w:rsidRPr="00000000" w14:paraId="000000AA">
            <w:pPr>
              <w:spacing w:line="276" w:lineRule="auto"/>
              <w:jc w:val="both"/>
              <w:rPr/>
            </w:pPr>
            <w:r w:rsidDel="00000000" w:rsidR="00000000" w:rsidRPr="00000000">
              <w:rPr>
                <w:rtl w:val="0"/>
              </w:rPr>
            </w:r>
          </w:p>
          <w:p w:rsidR="00000000" w:rsidDel="00000000" w:rsidP="00000000" w:rsidRDefault="00000000" w:rsidRPr="00000000" w14:paraId="000000AB">
            <w:pPr>
              <w:spacing w:line="276" w:lineRule="auto"/>
              <w:jc w:val="both"/>
              <w:rPr/>
            </w:pPr>
            <w:r w:rsidDel="00000000" w:rsidR="00000000" w:rsidRPr="00000000">
              <w:rPr>
                <w:rtl w:val="0"/>
              </w:rPr>
              <w:t xml:space="preserve">Nussbaum, Martha. “El ocultamiento de lo humano: repugnancia, vergüenza y ley”. Katz Editores, Buenos Aires, 2006.</w:t>
            </w:r>
          </w:p>
          <w:p w:rsidR="00000000" w:rsidDel="00000000" w:rsidP="00000000" w:rsidRDefault="00000000" w:rsidRPr="00000000" w14:paraId="000000AC">
            <w:pPr>
              <w:spacing w:line="276" w:lineRule="auto"/>
              <w:jc w:val="both"/>
              <w:rPr/>
            </w:pPr>
            <w:r w:rsidDel="00000000" w:rsidR="00000000" w:rsidRPr="00000000">
              <w:rPr>
                <w:rtl w:val="0"/>
              </w:rPr>
            </w:r>
          </w:p>
          <w:p w:rsidR="00000000" w:rsidDel="00000000" w:rsidP="00000000" w:rsidRDefault="00000000" w:rsidRPr="00000000" w14:paraId="000000AD">
            <w:pPr>
              <w:spacing w:line="276" w:lineRule="auto"/>
              <w:jc w:val="both"/>
              <w:rPr/>
            </w:pPr>
            <w:r w:rsidDel="00000000" w:rsidR="00000000" w:rsidRPr="00000000">
              <w:rPr>
                <w:rtl w:val="0"/>
              </w:rPr>
              <w:t xml:space="preserve">Organización para la Cooperación y el Desarrollo Económico, OCDE, “Education at a glance, country note. Chile”, 2018.</w:t>
            </w:r>
          </w:p>
          <w:p w:rsidR="00000000" w:rsidDel="00000000" w:rsidP="00000000" w:rsidRDefault="00000000" w:rsidRPr="00000000" w14:paraId="000000AE">
            <w:pPr>
              <w:spacing w:line="276" w:lineRule="auto"/>
              <w:jc w:val="both"/>
              <w:rPr/>
            </w:pPr>
            <w:hyperlink r:id="rId9">
              <w:r w:rsidDel="00000000" w:rsidR="00000000" w:rsidRPr="00000000">
                <w:rPr>
                  <w:u w:val="single"/>
                  <w:rtl w:val="0"/>
                </w:rPr>
                <w:t xml:space="preserve">www.gpseducation.oecd.org/content/EAGCountrynotes/CHL.pdf</w:t>
              </w:r>
            </w:hyperlink>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tc>
      </w:tr>
    </w:tbl>
    <w:p w:rsidR="00000000" w:rsidDel="00000000" w:rsidP="00000000" w:rsidRDefault="00000000" w:rsidRPr="00000000" w14:paraId="000000B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15. RECURSOS WEB ADICIONALES</w:t>
      </w:r>
    </w:p>
    <w:p w:rsidR="00000000" w:rsidDel="00000000" w:rsidP="00000000" w:rsidRDefault="00000000" w:rsidRPr="00000000" w14:paraId="000000B3">
      <w:pPr>
        <w:jc w:val="both"/>
        <w:rPr>
          <w:rFonts w:ascii="Arial" w:cs="Arial" w:eastAsia="Arial" w:hAnsi="Arial"/>
          <w:color w:val="000000"/>
        </w:rPr>
      </w:pPr>
      <w:r w:rsidDel="00000000" w:rsidR="00000000" w:rsidRPr="00000000">
        <w:rPr>
          <w:rtl w:val="0"/>
        </w:rPr>
      </w:r>
    </w:p>
    <w:tbl>
      <w:tblPr>
        <w:tblStyle w:val="Table1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vAlign w:val="center"/>
          </w:tcPr>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tl w:val="0"/>
              </w:rPr>
            </w:r>
          </w:p>
        </w:tc>
      </w:tr>
    </w:tbl>
    <w:p w:rsidR="00000000" w:rsidDel="00000000" w:rsidP="00000000" w:rsidRDefault="00000000" w:rsidRPr="00000000" w14:paraId="000000B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0">
      <w:pPr>
        <w:rPr>
          <w:rFonts w:ascii="Arial" w:cs="Arial" w:eastAsia="Arial" w:hAnsi="Arial"/>
          <w:color w:val="000000"/>
        </w:rPr>
      </w:pPr>
      <w:r w:rsidDel="00000000" w:rsidR="00000000" w:rsidRPr="00000000">
        <w:rPr>
          <w:rtl w:val="0"/>
        </w:rPr>
      </w:r>
    </w:p>
    <w:sectPr>
      <w:headerReference r:id="rId10" w:type="default"/>
      <w:footerReference r:id="rId11" w:type="default"/>
      <w:footerReference r:id="rId12" w:type="even"/>
      <w:pgSz w:h="1582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419"/>
        <w:tab w:val="right" w:pos="8838"/>
      </w:tabs>
      <w:jc w:val="right"/>
      <w:rPr>
        <w:color w:val="000000"/>
        <w:sz w:val="21"/>
        <w:szCs w:val="21"/>
      </w:rPr>
    </w:pPr>
    <w:r w:rsidDel="00000000" w:rsidR="00000000" w:rsidRPr="00000000">
      <w:rPr>
        <w:color w:val="000000"/>
        <w:sz w:val="21"/>
        <w:szCs w:val="2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419"/>
        <w:tab w:val="right" w:pos="8838"/>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419"/>
        <w:tab w:val="right" w:pos="8838"/>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419"/>
        <w:tab w:val="right" w:pos="8838"/>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-332738</wp:posOffset>
          </wp:positionV>
          <wp:extent cx="5885815" cy="611505"/>
          <wp:effectExtent b="0" l="0" r="0" t="0"/>
          <wp:wrapSquare wrapText="bothSides" distB="0" distT="0" distL="114300" distR="114300"/>
          <wp:docPr descr="MacintochHD:Users:alexismarinetti:Desktop:IDENTI_PREGRADO_2018:areas_pregrado:grafica_docencia:top_carta_02.jpg" id="1" name="image2.jpg"/>
          <a:graphic>
            <a:graphicData uri="http://schemas.openxmlformats.org/drawingml/2006/picture">
              <pic:pic>
                <pic:nvPicPr>
                  <pic:cNvPr descr="MacintochHD:Users:alexismarinetti:Desktop:IDENTI_PREGRADO_2018:areas_pregrado:grafica_docencia:top_carta_02.jpg" id="0" name="image2.jpg"/>
                  <pic:cNvPicPr preferRelativeResize="0"/>
                </pic:nvPicPr>
                <pic:blipFill>
                  <a:blip r:embed="rId1"/>
                  <a:srcRect b="0" l="0" r="0" t="0"/>
                  <a:stretch>
                    <a:fillRect/>
                  </a:stretch>
                </pic:blipFill>
                <pic:spPr>
                  <a:xfrm>
                    <a:off x="0" y="0"/>
                    <a:ext cx="5885815" cy="6115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www.gpseducation.oecd.org/content/EAGCountrynotes/CHL.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ibliotecafragmentada.org/wp-content/uploads/2014/11/interrupciones-libro-valeria-flores.pdf" TargetMode="External"/><Relationship Id="rId8" Type="http://schemas.openxmlformats.org/officeDocument/2006/relationships/hyperlink" Target="http://www.cendachil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